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xsi="http://www.w3.org/2001/XMLSchema-instance">
  <w:body>
    <w:p>
      <w:pPr>
        <w:spacing w:before="0" w:beforeLines="0" w:after="0" w:afterLines="0"/>
      </w:pPr>
      <w: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16D108A6" wp14:editId="351B37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Gr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color w:val="EC671A"/>
          <w:b w:val="off"/>
          <w:u w:val="none"/>
        </w:rPr>
        <w:t>CaraSuite FORD 650 MEG (2024)</w:t>
      </w:r>
    </w:p>
    <w:p>
      <w:pPr>
        <w:spacing w:before="80" w:beforeLines="0" w:after="0" w:afterLines="0"/>
      </w:pPr>
      <w:r>
        <w:rPr>
          <w:sz w:val="0"/>
        </w:rPr>
        <w:t>​</w:t>
      </w:r>
    </w:p>
    <w:tbl>
      <w:tblPr>
        <w:tblW w:w="5000" w:type="pct"/>
      </w:tblPr>
      <w:tr>
        <w:tc>
          <w:tcPr>
            <w:tcW w:type="pct" w:w="1600"/>
            <w:vMerge w:val="restart"/>
            <w:vAlign w:val="center"/>
          </w:tcPr>
          <w:p>
            <w:pPr>
              <w:spacing w:before="0" w:after="0"/>
              <w:jc w:val="left"/>
            </w:pPr>
            <w:r>
              <w:drawing>
                <wp:inline distT="0" distR="0" distB="0" distL="0">
                  <wp:extent cx="2268000" cy="925344"/>
                  <wp:docPr id="0" name="Drawing 0" descr="142df14290a0350a3aa0d6596c7a796f931332a4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142df14290a0350a3aa0d6596c7a796f931332a4.png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92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850"/>
            <w:vMerge w:val="restart"/>
          </w:tcPr>
          <w:p/>
        </w:tc>
        <w:tc>
          <w:tcPr>
            <w:tcW w:type="pct" w:w="100"/>
            <w:vMerge w:val="restart"/>
          </w:tcPr>
          <w:p>
            <w:pPr>
              <w:spacing w:beforeLines="0" w:after="0"/>
              <w:ind w:left="0" w:right="0"/>
              <w:jc w:val="left"/>
            </w:pPr>
            <w:r>
              <w:rPr>
                <w:sz w:val="24"/>
                <w:color w:val="000000"/>
                <w:b w:val="off"/>
                <w:u w:val="none"/>
              </w:rPr>
              <w:t xml:space="preserve"> </w:t>
            </w:r>
          </w:p>
        </w:tc>
        <w:tc>
          <w:tcPr>
            <w:tcW w:type="pct" w:w="1900"/>
            <w:hMerge w:val="restart"/>
            <w:shd w:color="auto" w:val="clear" w:fill="64666B"/>
          </w:tcPr>
          <w:p>
            <w:pPr>
              <w:spacing w:beforeLines="80" w:after="25"/>
              <w:ind w:left="150" w:right="0"/>
              <w:jc w:val="left"/>
            </w:pPr>
            <w:r>
              <w:rPr>
                <w:sz w:val="20"/>
                <w:color w:val="FFFFFF"/>
                <w:b w:val="off"/>
                <w:u w:val="none"/>
              </w:rPr>
              <w:t>VOERTUIG</w:t>
            </w:r>
          </w:p>
        </w:tc>
        <w:tc>
          <w:tcPr>
            <w:hMerge w:val="continue"/>
          </w:tcPr>
          <w:p/>
        </w:tc>
        <w:tc>
          <w:tcPr>
            <w:tcW w:type="pct" w:w="900"/>
            <w:vMerge w:val="restart"/>
            <w:shd w:color="auto" w:val="clear" w:fill="64666B"/>
            <w:vAlign w:val="center"/>
          </w:tcPr>
          <w:p>
            <w:pPr>
              <w:spacing w:before="0" w:beforeLines="0" w:after="0" w:afterLines="0"/>
              <w:jc w:val="center"/>
            </w:pPr>
            <w:r>
              <w:drawing>
                <wp:inline distT="0" distR="0" distB="0" distL="0">
                  <wp:extent cx="960120" cy="960120"/>
                  <wp:docPr id="1" name="Drawing 1" descr="generatedQrCode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QrCode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type="pct" w:w="1000"/>
            <w:shd w:color="auto" w:val="clear" w:fill="64666B"/>
          </w:tcPr>
          <w:p>
            <w:pPr>
              <w:spacing w:beforeLines="25" w:after="25"/>
              <w:ind w:left="150" w:right="0"/>
              <w:jc w:val="left"/>
            </w:pPr>
            <w:r>
              <w:rPr>
                <w:sz w:val="18"/>
                <w:color w:val="FFFFFF"/>
                <w:b w:val="off"/>
                <w:u w:val="none"/>
              </w:rPr>
              <w:t>Chassis</w:t>
            </w:r>
          </w:p>
        </w:tc>
        <w:tc>
          <w:tcPr>
            <w:tcW w:type="pct" w:w="900"/>
            <w:shd w:color="auto" w:val="clear" w:fill="64666B"/>
          </w:tcPr>
          <w:p>
            <w:pPr>
              <w:spacing w:beforeLines="25" w:after="25"/>
              <w:ind w:left="150" w:right="0"/>
              <w:jc w:val="left"/>
            </w:pPr>
            <w:r>
              <w:rPr>
                <w:sz w:val="18"/>
                <w:color w:val="FFFFFF"/>
                <w:b w:val="off"/>
                <w:u w:val="none"/>
              </w:rPr>
              <w:t>FORD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type="pct" w:w="1000"/>
            <w:shd w:color="auto" w:val="clear" w:fill="64666B"/>
          </w:tcPr>
          <w:p>
            <w:pPr>
              <w:spacing w:beforeLines="25" w:after="25"/>
              <w:ind w:left="150" w:right="0"/>
              <w:jc w:val="left"/>
            </w:pPr>
            <w:r>
              <w:rPr>
                <w:sz w:val="18"/>
                <w:color w:val="FFFFFF"/>
                <w:b w:val="off"/>
                <w:u w:val="none"/>
              </w:rPr>
              <w:t>Vermogen</w:t>
            </w:r>
          </w:p>
        </w:tc>
        <w:tc>
          <w:tcPr>
            <w:tcW w:type="pct" w:w="900"/>
            <w:shd w:color="auto" w:val="clear" w:fill="64666B"/>
          </w:tcPr>
          <w:p>
            <w:pPr>
              <w:spacing w:beforeLines="25" w:after="25"/>
              <w:ind w:left="150" w:right="0"/>
              <w:jc w:val="left"/>
            </w:pPr>
            <w:r>
              <w:rPr>
                <w:sz w:val="18"/>
                <w:color w:val="FFFFFF"/>
                <w:b w:val="off"/>
                <w:u w:val="none"/>
              </w:rPr>
              <w:t>114 kW / 155 PS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type="pct" w:w="1000"/>
            <w:shd w:color="auto" w:val="clear" w:fill="64666B"/>
          </w:tcPr>
          <w:p>
            <w:pPr>
              <w:spacing w:beforeLines="25" w:after="25"/>
              <w:ind w:left="150" w:right="0"/>
              <w:jc w:val="left"/>
            </w:pPr>
            <w:r>
              <w:rPr>
                <w:sz w:val="18"/>
                <w:color w:val="FFFFFF"/>
                <w:b w:val="off"/>
                <w:u w:val="none"/>
              </w:rPr>
              <w:t>Versnellingsbak</w:t>
            </w:r>
          </w:p>
        </w:tc>
        <w:tc>
          <w:tcPr>
            <w:tcW w:type="pct" w:w="900"/>
            <w:shd w:color="auto" w:val="clear" w:fill="64666B"/>
          </w:tcPr>
          <w:p>
            <w:pPr>
              <w:spacing w:beforeLines="25" w:after="25"/>
              <w:ind w:left="150" w:right="0"/>
              <w:jc w:val="left"/>
            </w:pPr>
            <w:r>
              <w:rPr>
                <w:sz w:val="18"/>
                <w:color w:val="FFFFFF"/>
                <w:b w:val="off"/>
                <w:u w:val="none"/>
              </w:rPr>
              <w:t>autom.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type="pct" w:w="1000"/>
            <w:shd w:color="auto" w:val="clear" w:fill="64666B"/>
          </w:tcPr>
          <w:p/>
        </w:tc>
        <w:tc>
          <w:tcPr>
            <w:tcW w:type="pct" w:w="900"/>
            <w:shd w:color="auto" w:val="clear" w:fill="64666B"/>
          </w:tcPr>
          <w:p/>
        </w:tc>
        <w:tc>
          <w:tcPr>
            <w:vMerge w:val="continue"/>
          </w:tcPr>
          <w:p/>
        </w:tc>
      </w:tr>
    </w:tbl>
    <w:p>
      <w:pPr>
        <w:spacing w:before="80" w:beforeLines="0" w:after="0" w:afterLines="0"/>
      </w:pPr>
      <w:r>
        <w:rPr>
          <w:sz w:val="0"/>
        </w:rPr>
        <w:t>​</w:t>
      </w:r>
    </w:p>
    <w:tbl>
      <w:tblPr>
        <w:tblW w:w="5000" w:type="pct"/>
      </w:tblPr>
      <w:tr>
        <w:tc>
          <w:tcPr>
            <w:tcW w:type="dxa" w:w="2303"/>
          </w:tcPr>
          <w:p>
            <w:pPr>
              <w:spacing w:before="0" w:beforeLines="0" w:after="0" w:afterLines="0"/>
              <w:jc w:val="left"/>
              <w:textAlignment w:val="center"/>
            </w:pPr>
            <w:r>
              <w:drawing>
                <wp:inline distT="0" distR="0" distB="0" distL="0">
                  <wp:extent cx="302400" cy="302400"/>
                  <wp:docPr id="2" name="Drawing 2" descr="weinsberg-schlafplaetz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insberg-schlafplaetze.png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3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color w:val="000000"/>
                <w:b w:val="off"/>
                <w:u w:val="none"/>
              </w:rPr>
              <w:t xml:space="preserve">  4 Slaapplaatsen</w:t>
            </w:r>
          </w:p>
        </w:tc>
        <w:tc>
          <w:tcPr>
            <w:tcW w:type="dxa" w:w="2976"/>
          </w:tcPr>
          <w:p>
            <w:pPr>
              <w:spacing w:before="0" w:beforeLines="0" w:after="0" w:afterLines="0"/>
              <w:jc w:val="center"/>
              <w:textAlignment w:val="center"/>
            </w:pPr>
            <w:r>
              <w:drawing>
                <wp:inline distT="0" distR="0" distB="0" distL="0">
                  <wp:extent cx="302400" cy="302400"/>
                  <wp:docPr id="3" name="Drawing 3" descr="weinsberg-gurtplaetz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insberg-gurtplaetze.png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3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color w:val="000000"/>
                <w:b w:val="off"/>
                <w:u w:val="none"/>
              </w:rPr>
              <w:t xml:space="preserve">  4 Zitplaatsen met gordels</w:t>
            </w:r>
          </w:p>
        </w:tc>
        <w:tc>
          <w:tcPr>
            <w:tcW w:type="dxa" w:w="2505"/>
          </w:tcPr>
          <w:p>
            <w:pPr>
              <w:spacing w:before="0" w:beforeLines="0" w:after="0" w:afterLines="0"/>
              <w:jc w:val="center"/>
              <w:textAlignment w:val="center"/>
            </w:pPr>
            <w:r>
              <w:drawing>
                <wp:inline distT="0" distR="0" distB="0" distL="0">
                  <wp:extent cx="302400" cy="302400"/>
                  <wp:docPr id="4" name="Drawing 4" descr="weinsberg-breit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insberg-breite.png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3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color w:val="000000"/>
                <w:b w:val="off"/>
                <w:u w:val="none"/>
              </w:rPr>
              <w:t xml:space="preserve">  minder dan 7 meter</w:t>
            </w:r>
          </w:p>
        </w:tc>
        <w:tc>
          <w:tcPr>
            <w:tcW w:type="dxa" w:w="2572"/>
          </w:tcPr>
          <w:p>
            <w:pPr>
              <w:spacing w:before="0" w:beforeLines="0" w:after="0" w:afterLines="0"/>
              <w:jc w:val="right"/>
              <w:textAlignment w:val="center"/>
            </w:pPr>
            <w:r>
              <w:drawing>
                <wp:inline distT="0" distR="0" distB="0" distL="0">
                  <wp:extent cx="302400" cy="302400"/>
                  <wp:docPr id="5" name="Drawing 5" descr="weinsberg-gewicht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insberg-gewicht.png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3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color w:val="000000"/>
                <w:b w:val="off"/>
                <w:u w:val="none"/>
              </w:rPr>
              <w:t xml:space="preserve">  minder dan 3.500 kg</w:t>
            </w:r>
          </w:p>
        </w:tc>
      </w:tr>
    </w:tbl>
    <w:p>
      <w:pPr>
        <w:spacing w:before="80" w:beforeLines="0" w:after="0" w:afterLines="0"/>
      </w:pPr>
      <w:r>
        <w:rPr>
          <w:sz w:val="0"/>
        </w:rPr>
        <w:t>​</w:t>
      </w:r>
    </w:p>
    <w:tbl>
      <w:tblPr>
        <w:tblW w:w="5000" w:type="pct"/>
        <w:tblLayout w:type="fixed"/>
        <w:tblCellMar/>
      </w:tblPr>
      <w:tr>
        <w:tc>
          <w:tcPr>
            <w:shd w:color="auto" w:val="clear" w:fill="64666B"/>
          </w:tcPr>
          <w:p>
            <w:pPr>
              <w:spacing w:beforeLines="2" w:afterLines="10"/>
              <w:ind w:left="50" w:right="50"/>
              <w:jc w:val="left"/>
            </w:pPr>
            <w:r>
              <w:rPr>
                <w:sz w:val="24"/>
                <w:b w:val="on"/>
                <w:color w:val="FFFFFF"/>
              </w:rPr>
              <w:t>Technische gegevens</w:t>
            </w:r>
          </w:p>
        </w:tc>
        <w:tc>
          <w:tcPr>
            <w:shd w:color="auto" w:val="clear" w:fill="64666B"/>
          </w:tcPr>
          <w:p>
            <w:pPr>
              <w:spacing w:beforeLines="2" w:afterLines="10"/>
              <w:ind w:left="50" w:right="50"/>
              <w:jc w:val="right"/>
            </w:pPr>
            <w:r>
              <w:rPr>
                <w:sz w:val="24"/>
                <w:b w:val="on"/>
                <w:color w:val="FFFFFF"/>
              </w:rPr>
              <w:t xsi:nil="true"/>
            </w:r>
          </w:p>
        </w:tc>
      </w:tr>
    </w:tbl>
    <w:tbl>
      <w:tblPr>
        <w:tblW w:w="0" w:type="auto"/>
      </w:tblPr>
      <w:tr>
        <w:tc>
          <w:tcPr>
            <w:tcW w:type="pct" w:w="250"/>
          </w:tcPr>
          <w:tbl>
            <w:tblPr>
              <w:tblW w:w="4950" w:type="pct"/>
              <w:jc w:val="start"/>
              <w:tblBorders>
                <w:top w:val="none" w:sz="1" w:space="0" w:color=""/>
                <w:left w:val="none" w:sz="1" w:space="0" w:color=""/>
                <w:bottom w:val="none" w:sz="1" w:space="0" w:color=""/>
                <w:right w:val="none" w:sz="1" w:space="0" w:color=""/>
                <w:insideH w:val="none" w:sz="1" w:space="0" w:color=""/>
                <w:insideV w:val="none" w:sz="1" w:space="0" w:color=""/>
              </w:tblBorders>
              <w:tblCellMar/>
            </w:tblPr>
            <w:tr>
              <w:trPr>
                <w:trHeight w:hRule="auto"/>
              </w:trPr>
              <w:tc>
                <w:tcPr>
                  <w:tcW w:w="1340" w:type="dxa"/>
                  <w:shd w:color="auto" w:val="clear" w:fill="F1F1F2"/>
                </w:tcPr>
                <w:p>
                  <w:pPr>
                    <w:spacing w:before="25" w:after="25" w:beforeLines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Afmetingen:</w:t>
                  </w:r>
                </w:p>
              </w:tc>
              <w:tc>
                <w:tcPr>
                  <w:tcW w:w="660" w:type="dxa"/>
                  <w:shd w:color="auto" w:val="clear" w:fill="F1F1F2"/>
                </w:tcPr>
                <w:p>
                  <w:pPr>
                    <w:spacing w:before="25" w:after="25" w:beforeLines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Totale lengte (cm)</w:t>
                  </w:r>
                </w:p>
              </w:tc>
              <w:tc>
                <w:tcPr>
                  <w:tcW w:w="6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699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Breedte buiten/binnen (cm)</w:t>
                  </w:r>
                </w:p>
              </w:tc>
              <w:tc>
                <w:tcPr>
                  <w:tcW w:w="6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232 / 218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Hoogte buiten/binnen (cm)</w:t>
                  </w:r>
                </w:p>
              </w:tc>
              <w:tc>
                <w:tcPr>
                  <w:tcW w:w="6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284 / 200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Bedmaat hefbed (cm)</w:t>
                  </w:r>
                </w:p>
              </w:tc>
              <w:tc>
                <w:tcPr>
                  <w:tcW w:w="6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196 x 142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Bedmaat achter (cm)</w:t>
                  </w:r>
                </w:p>
              </w:tc>
              <w:tc>
                <w:tcPr>
                  <w:tcW w:w="6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2 x 201 x 86</w:t>
                  </w:r>
                </w:p>
              </w:tc>
            </w:tr>
          </w:tbl>
          <w:p/>
        </w:tc>
        <w:tc>
          <w:tcPr>
            <w:tcW w:type="pct" w:w="250"/>
          </w:tcPr>
          <w:tbl>
            <w:tblPr>
              <w:tblW w:w="4950" w:type="pct"/>
              <w:jc w:val="end"/>
              <w:tblBorders>
                <w:top w:val="none" w:sz="1" w:space="0" w:color=""/>
                <w:left w:val="none" w:sz="1" w:space="0" w:color=""/>
                <w:bottom w:val="none" w:sz="1" w:space="0" w:color=""/>
                <w:right w:val="none" w:sz="1" w:space="0" w:color=""/>
                <w:insideH w:val="none" w:sz="1" w:space="0" w:color=""/>
                <w:insideV w:val="none" w:sz="1" w:space="0" w:color=""/>
              </w:tblBorders>
              <w:tblCellMar/>
            </w:tblPr>
            <w:tr>
              <w:trPr>
                <w:trHeight w:hRule="auto"/>
              </w:trPr>
              <w:tc>
                <w:tcPr>
                  <w:tcW w:w="1340" w:type="dxa"/>
                  <w:shd w:color="auto" w:val="clear" w:fill="F1F1F2"/>
                </w:tcPr>
                <w:p>
                  <w:pPr>
                    <w:spacing w:before="25" w:after="25" w:beforeLines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Gewicht:</w:t>
                  </w:r>
                </w:p>
              </w:tc>
              <w:tc>
                <w:tcPr>
                  <w:tcW w:w="660" w:type="dxa"/>
                  <w:shd w:color="auto" w:val="clear" w:fill="F1F1F2"/>
                </w:tcPr>
                <w:p>
                  <w:pPr>
                    <w:spacing w:before="25" w:after="25" w:beforeLines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Toegestane maximum massa (kg)</w:t>
                  </w:r>
                </w:p>
              </w:tc>
              <w:tc>
                <w:tcPr>
                  <w:tcW w:w="6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3.500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Rijklaar gewicht (kg)</w:t>
                  </w:r>
                </w:p>
              </w:tc>
              <w:tc>
                <w:tcPr>
                  <w:tcW w:w="6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2.875 (2.731 - 3.018)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3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Resterende massa van de optionele uitrusting (kg)</w:t>
                  </w:r>
                </w:p>
              </w:tc>
              <w:tc>
                <w:tcPr>
                  <w:tcW w:w="6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110</w:t>
                  </w:r>
                </w:p>
              </w:tc>
            </w:tr>
          </w:tbl>
          <w:p/>
        </w:tc>
      </w:tr>
    </w:tbl>
    <w:p>
      <w:pPr>
        <w:spacing w:before="80" w:beforeLines="0" w:after="0" w:afterLines="0"/>
      </w:pPr>
      <w:r>
        <w:rPr>
          <w:sz w:val="0"/>
        </w:rPr>
        <w:t>​</w:t>
      </w:r>
    </w:p>
    <w:tbl>
      <w:tblPr>
        <w:tblW w:w="5000" w:type="pct"/>
        <w:tblLayout w:type="fixed"/>
        <w:tblCellMar/>
      </w:tblPr>
      <w:tr>
        <w:tc>
          <w:tcPr>
            <w:shd w:color="auto" w:val="clear" w:fill="64666B"/>
          </w:tcPr>
          <w:p>
            <w:pPr>
              <w:spacing w:beforeLines="2" w:afterLines="10"/>
              <w:ind w:left="50" w:right="50"/>
              <w:jc w:val="left"/>
            </w:pPr>
            <w:r>
              <w:rPr>
                <w:sz w:val="24"/>
                <w:b w:val="on"/>
                <w:color w:val="FFFFFF"/>
              </w:rPr>
              <w:t>Speciale uitrusting</w:t>
            </w:r>
          </w:p>
        </w:tc>
        <w:tc>
          <w:tcPr>
            <w:shd w:color="auto" w:val="clear" w:fill="64666B"/>
          </w:tcPr>
          <w:p>
            <w:pPr>
              <w:spacing w:beforeLines="2" w:afterLines="10"/>
              <w:ind w:left="50" w:right="50"/>
              <w:jc w:val="right"/>
            </w:pPr>
            <w:r>
              <w:rPr>
                <w:sz w:val="24"/>
                <w:b w:val="on"/>
                <w:color w:val="FFFFFF"/>
              </w:rPr>
              <w:t>19.623 €</w:t>
            </w:r>
          </w:p>
        </w:tc>
      </w:tr>
    </w:tbl>
    <w:tbl>
      <w:tblPr>
        <w:tblW w:w="0" w:type="auto"/>
      </w:tblPr>
      <w:tr>
        <w:tc>
          <w:tcPr>
            <w:tcW w:type="pct" w:w="250"/>
          </w:tcPr>
          <w:tbl>
            <w:tblPr>
              <w:tblW w:w="4950" w:type="pct"/>
              <w:jc w:val="start"/>
              <w:tblBorders>
                <w:top w:val="none" w:sz="1" w:space="0" w:color=""/>
                <w:left w:val="none" w:sz="1" w:space="0" w:color=""/>
                <w:bottom w:val="none" w:sz="1" w:space="0" w:color=""/>
                <w:right w:val="none" w:sz="1" w:space="0" w:color=""/>
                <w:insideH w:val="none" w:sz="1" w:space="0" w:color=""/>
                <w:insideV w:val="none" w:sz="1" w:space="0" w:color=""/>
              </w:tblBorders>
              <w:tblCellMar/>
            </w:tblP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 w:beforeLines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Motorisering / Aandrijving / Gewichtsverhoging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 w:beforeLines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FORD TRANSIT 3.500 kg***; L3 FWD 2.0 l EcoBlue Heavy Duty; 155 pk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1.986 €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6 traps automatische versnellingsbak</w:t>
                  </w:r>
                </w:p>
              </w:tc>
              <w:tc>
                <w:tcPr>
                  <w:tcW w:w="5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2.981 €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Chassis / Airco / Multimedia / Transportsystemen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Uitdraaisteunen achter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415 €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Bandenspanningscontrolesysteem</w:t>
                  </w:r>
                </w:p>
              </w:tc>
              <w:tc>
                <w:tcPr>
                  <w:tcW w:w="5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127 €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Pakketten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Camper Premium-pakket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1.413 €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WEINSBERG Smart-pakket</w:t>
                  </w:r>
                </w:p>
              </w:tc>
              <w:tc>
                <w:tcPr>
                  <w:tcW w:w="5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1.617 €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Assistentiepakket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1.617 €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Styling-pakket</w:t>
                  </w:r>
                </w:p>
              </w:tc>
              <w:tc>
                <w:tcPr>
                  <w:tcW w:w="5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2.429 €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Media Pakket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1.840 €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Voltage-pakket - TI FORD</w:t>
                  </w:r>
                </w:p>
              </w:tc>
              <w:tc>
                <w:tcPr>
                  <w:tcW w:w="5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702 €</w:t>
                  </w:r>
                </w:p>
              </w:tc>
            </w:tr>
          </w:tbl>
          <w:p/>
        </w:tc>
        <w:tc>
          <w:tcPr>
            <w:tcW w:type="pct" w:w="250"/>
          </w:tcPr>
          <w:tbl>
            <w:tblPr>
              <w:tblW w:w="4950" w:type="pct"/>
              <w:jc w:val="end"/>
              <w:tblBorders>
                <w:top w:val="none" w:sz="1" w:space="0" w:color=""/>
                <w:left w:val="none" w:sz="1" w:space="0" w:color=""/>
                <w:bottom w:val="none" w:sz="1" w:space="0" w:color=""/>
                <w:right w:val="none" w:sz="1" w:space="0" w:color=""/>
                <w:insideH w:val="none" w:sz="1" w:space="0" w:color=""/>
                <w:insideV w:val="none" w:sz="1" w:space="0" w:color=""/>
              </w:tblBorders>
              <w:tblCellMar/>
            </w:tblP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 w:beforeLines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Deuren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 w:beforeLines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Opbouwdeur WEINSBERG PREMIUM met de volgende extra's t.o.v. WEINSBERG KOMFORT deur: meervoudig afsluitbaar, verdekt scharniersysteem, openingsbegrenzer / deur vastzetten m.b.v. gasveer, incl. raam met plisséverduistering, geïntegreerd paraplu opbergvak, hoogwaardige applicaties, multifunctionele tas in WEINSBERG design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757 €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Electrisch bedienbare opstap</w:t>
                  </w:r>
                </w:p>
              </w:tc>
              <w:tc>
                <w:tcPr>
                  <w:tcW w:w="5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628 €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Servicekleppen / Garagedeuren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Garagedeur 80 x 110 cm, links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506 €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Ramen / Dakramen / Ontluchting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Openslaand raam 70 x 40 cm, (achter links)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348 €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Wonen / Slapen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Voetmatten set in de cabine in WEINSBERG design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99 €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Gas / Verwarming / Airco / Water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TRUMA DuoControl CS incl. gasfilter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521 €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Rookmelder</w:t>
                  </w:r>
                </w:p>
              </w:tc>
              <w:tc>
                <w:tcPr>
                  <w:tcW w:w="560" w:type="dxa"/>
                  <w:shd w:color="auto" w:val="clear" w:fill="FFFFFF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37 €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Gasmelder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267 €</w:t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n"/>
                      <w:color w:val="64666B"/>
                    </w:rPr>
                    <w:t>Luifels / Optie luifels</w:t>
                  </w:r>
                </w:p>
              </w:tc>
              <w:tc>
                <w:tcPr>
                  <w:tcW w:w="560" w:type="dxa"/>
                  <w:shd w:color="auto" w:val="clear" w:fill="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n"/>
                      <w:color w:val="64666B"/>
                    </w:rPr>
                    <w:t/>
                  </w:r>
                </w:p>
              </w:tc>
            </w:tr>
            <w:tr>
              <w:trPr>
                <w:trHeight w:hRule="auto"/>
              </w:trPr>
              <w:tc>
                <w:tcPr>
                  <w:tcW w:w="144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</w:pPr>
                  <w:r>
                    <w:rPr>
                      <w:sz w:val="20"/>
                      <w:b w:val="off"/>
                      <w:color w:val="64666B"/>
                    </w:rPr>
                    <w:t>Luifel 405 x 250 cm, wit</w:t>
                  </w:r>
                </w:p>
              </w:tc>
              <w:tc>
                <w:tcPr>
                  <w:tcW w:w="560" w:type="dxa"/>
                  <w:shd w:color="auto" w:val="clear" w:fill="F1F1F2"/>
                </w:tcPr>
                <w:p>
                  <w:pPr>
                    <w:spacing w:before="25" w:after="25"/>
                    <w:ind w:left="45" w:right="45"/>
                    <w:jc w:val="end"/>
                  </w:pPr>
                  <w:r>
                    <w:rPr>
                      <w:sz w:val="20"/>
                      <w:b w:val="off"/>
                      <w:color w:val="64666B"/>
                    </w:rPr>
                    <w:t>1.333 €</w:t>
                  </w:r>
                </w:p>
              </w:tc>
            </w:tr>
          </w:tbl>
          <w:p/>
        </w:tc>
      </w:tr>
    </w:tbl>
    <w:p>
      <w:pPr>
        <w:spacing w:before="80" w:beforeLines="0" w:after="0" w:afterLines="0"/>
      </w:pPr>
      <w:r>
        <w:rPr>
          <w:sz w:val="0"/>
        </w:rPr>
        <w:t>​</w:t>
      </w:r>
    </w:p>
    <w:p>
      <w:pPr>
        <w:spacing w:before="80" w:beforeLines="0" w:after="0" w:afterLines="0"/>
      </w:pPr>
      <w:r>
        <w:rPr>
          <w:sz w:val="0"/>
        </w:rPr>
        <w:t>​</w:t>
      </w:r>
    </w:p>
    <w:p>
      <w:pPr>
        <w:pageBreakBefore w:val="on"/>
      </w:pPr>
    </w:p>
    <w:p>
      <w: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16D108A6" wp14:editId="351B37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Gr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Lines="75"/>
      </w:pPr>
      <w:r>
        <w:rPr>
          <w:sz w:val="20"/>
          <w:b w:val="on"/>
        </w:rPr>
        <w:t>EU-bandenlabel:</w:t>
      </w:r>
    </w:p>
    <w:tbl>
      <w:tblPr>
        <w:tblW w:w="5000" w:type="pct"/>
      </w:tblPr>
      <w:tr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>
            <w:pPr>
              <w:spacing w:after="0" w:afterLines="0"/>
            </w:pPr>
            <w:r>
              <w:rPr>
                <w:sz w:val="20"/>
                <w:b w:val="on"/>
              </w:rPr>
              <w:t>193975 - 16" banden</w:t>
            </w:r>
          </w:p>
          <w:p>
            <w:pPr>
              <w:spacing w:after="0" w:afterLines="0"/>
            </w:pPr>
            <w:r>
              <w:rPr>
                <w:sz w:val="20"/>
                <w:b w:val="on"/>
              </w:rPr>
              <w:t>193977 - FORD Lichtmetalen velgen voor standaard banden</w:t>
            </w:r>
          </w:p>
        </w:tc>
        <w:tc>
          <w:tcPr>
            <w:tcW w:type="dxa" w:w="1048"/>
            <w:shd w:color="auto" w:val="clear" w:fill=""/>
          </w:tcPr>
          <w:tcPr>
            <w:tcBorders>
              <w:right w:val="single" w:color="cccccc"/>
            </w:tcBorders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>
            <w:pPr>
              <w:spacing w:after="0" w:afterLines="0"/>
            </w:pPr>
            <w:r>
              <w:rPr>
                <w:sz w:val="20"/>
                <w:b w:val="on"/>
              </w:rPr>
              <w:t>193975 - 16" banden</w:t>
            </w:r>
          </w:p>
          <w:p>
            <w:pPr>
              <w:spacing w:after="0" w:afterLines="0"/>
            </w:pPr>
            <w:r>
              <w:rPr>
                <w:sz w:val="20"/>
                <w:b w:val="on"/>
              </w:rPr>
              <w:t>193977 - FORD Lichtmetalen velgen voor standaard banden</w:t>
            </w:r>
          </w:p>
        </w:tc>
        <w:tc>
          <w:tcPr>
            <w:tcW w:type="dxa" w:w="1048"/>
            <w:shd w:color="auto" w:val="clear" w:fill=""/>
          </w:tcPr>
          <w:p/>
        </w:tc>
      </w:tr>
      <w:tr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>
            <w:pPr>
              <w:spacing w:after="0" w:afterLines="0"/>
            </w:pPr>
            <w:r>
              <w:drawing>
                <wp:inline distT="0" distR="0" distB="0" distL="0">
                  <wp:extent cx="1828800" cy="3073400"/>
                  <wp:docPr id="6" name="Drawing 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48"/>
            <w:shd w:color="auto" w:val="clear" w:fill=""/>
          </w:tcPr>
          <w:tcPr>
            <w:tcBorders>
              <w:right w:val="single" w:color="cccccc"/>
            </w:tcBorders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>
            <w:pPr>
              <w:spacing w:after="0" w:afterLines="0"/>
            </w:pPr>
            <w:r>
              <w:drawing>
                <wp:inline distT="0" distR="0" distB="0" distL="0">
                  <wp:extent cx="1828800" cy="3073400"/>
                  <wp:docPr id="7" name="Drawing 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48"/>
            <w:shd w:color="auto" w:val="clear" w:fill=""/>
          </w:tcPr>
          <w:p/>
        </w:tc>
      </w:tr>
      <w:tr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>
            <w:hyperlink r:id="rId12">
              <w:r>
                <w:rPr>
                  <w:sz w:val="20"/>
                  <w:b w:val="off"/>
                </w:rPr>
                <w:t>.</w:t>
              </w:r>
            </w:hyperlink>
          </w:p>
        </w:tc>
        <w:tc>
          <w:tcPr>
            <w:tcW w:type="dxa" w:w="1048"/>
            <w:shd w:color="auto" w:val="clear" w:fill=""/>
          </w:tcPr>
          <w:tcPr>
            <w:tcBorders>
              <w:right w:val="single" w:color="cccccc"/>
            </w:tcBorders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>
            <w:hyperlink r:id="rId14">
              <w:r>
                <w:rPr>
                  <w:sz w:val="20"/>
                  <w:b w:val="off"/>
                </w:rPr>
                <w:t>.</w:t>
              </w:r>
            </w:hyperlink>
          </w:p>
        </w:tc>
        <w:tc>
          <w:tcPr>
            <w:tcW w:type="dxa" w:w="1048"/>
            <w:shd w:color="auto" w:val="clear" w:fill=""/>
          </w:tcPr>
          <w:p/>
        </w:tc>
      </w:tr>
      <w:tr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</w:tr>
      <w:tr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</w:tr>
      <w:tr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  <w:tc>
          <w:tcPr>
            <w:tcW w:type="dxa" w:w="2933"/>
            <w:shd w:color="auto" w:val="clear" w:fill=""/>
          </w:tcPr>
          <w:p/>
        </w:tc>
        <w:tc>
          <w:tcPr>
            <w:tcW w:type="dxa" w:w="1048"/>
            <w:shd w:color="auto" w:val="clear" w:fill=""/>
          </w:tcPr>
          <w:p/>
        </w:tc>
      </w:tr>
    </w:tbl>
    <w:p>
      <w:r>
        <w:rPr>
          <w:sz w:val="20"/>
          <w:b w:val="off"/>
        </w:rPr>
        <w:t>Om logistieke en productieredenen is het niet mogelijk een specifiek bandenmerk te bestellen.</w:t>
      </w:r>
    </w:p>
    <w:p>
      <w:r>
        <w:rPr>
          <w:sz w:val="20"/>
          <w:b w:val="off"/>
        </w:rPr>
        <w:t>Wijzigingen en fouten voorbehouden.</w:t>
      </w:r>
    </w:p>
    <w:p>
      <w:pPr>
        <w:spacing w:before="80" w:beforeLines="0" w:after="0" w:afterLines="0"/>
      </w:pPr>
      <w:r>
        <w:rPr>
          <w:sz w:val="0"/>
        </w:rPr>
        <w:t>​</w:t>
      </w:r>
    </w:p>
    <w:sectPr>
      <w:footerReference w:type="first" r:id="rId10"/>
      <w:pgSz w:orient="portrait" w:w="11900" w:h="16840"/>
      <w:pgMar w:top="611" w:right="971" w:left="550" w:bottom="0" w:header="0" w:footer="0"/>
      <w:titlePg w:val="on"/>
    </w:sectPr>
  </w:body>
</w:document>
</file>

<file path=word/footer1.xml><?xml version="1.0" encoding="utf-8"?>
<w:ftr xmlns:w="http://schemas.openxmlformats.org/wordprocessingml/2006/main">
  <w:tbl>
    <w:tblPr>
      <w:tblW w:w="5000" w:type="pct"/>
    </w:tblPr>
    <w:tr>
      <w:tc>
        <w:tcPr>
          <w:tcW w:type="pct" w:w="2475"/>
          <w:hMerge w:val="restart"/>
          <w:vMerge w:val="restart"/>
          <w:shd w:color="auto" w:val="clear" w:fill="64666B"/>
        </w:tcPr>
        <w:p/>
      </w:tc>
      <w:tc>
        <w:tcPr>
          <w:hMerge w:val="continue"/>
          <w:vMerge w:val="restart"/>
        </w:tcPr>
        <w:p/>
      </w:tc>
      <w:tc>
        <w:tcPr>
          <w:tcW w:type="pct" w:w="55"/>
          <w:vMerge w:val="restart"/>
        </w:tcPr>
        <w:p/>
      </w:tc>
      <w:tc>
        <w:tcPr>
          <w:tcW w:type="pct" w:w="1730"/>
          <w:shd w:color="auto" w:val="clear" w:fill="EC671A"/>
        </w:tcPr>
        <w:p>
          <w:pPr>
            <w:spacing w:beforeLines="20" w:after="20"/>
            <w:ind w:left="60" w:right="0"/>
            <w:jc w:val="left"/>
          </w:pPr>
          <w:r>
            <w:rPr>
              <w:sz w:val="18"/>
              <w:color w:val="FFFFFF"/>
              <w:b w:val="off"/>
              <w:u w:val="none"/>
            </w:rPr>
            <w:t>Basisprijs basisvoertuig</w:t>
          </w:r>
        </w:p>
      </w:tc>
      <w:tc>
        <w:tcPr>
          <w:tcW w:type="pct" w:w="740"/>
          <w:shd w:color="auto" w:val="clear" w:fill="EC671A"/>
        </w:tcPr>
        <w:p>
          <w:pPr>
            <w:spacing w:beforeLines="20" w:after="20"/>
            <w:ind w:left="0" w:right="60"/>
            <w:jc w:val="end"/>
          </w:pPr>
          <w:r>
            <w:rPr>
              <w:sz w:val="18"/>
              <w:color w:val="FFFFFF"/>
              <w:b w:val="off"/>
              <w:u w:val="none"/>
            </w:rPr>
            <w:t>90.758 €</w:t>
          </w:r>
        </w:p>
      </w:tc>
    </w:tr>
    <w:tr>
      <w:tc>
        <w:tcPr>
          <w:hMerge w:val="restart"/>
          <w:vMerge w:val="continue"/>
        </w:tcPr>
        <w:p/>
      </w:tc>
      <w:tc>
        <w:tcPr>
          <w:hMerge w:val="continue"/>
          <w:vMerge w:val="continue"/>
        </w:tcPr>
        <w:p/>
      </w:tc>
      <w:tc>
        <w:tcPr>
          <w:vMerge w:val="continue"/>
        </w:tcPr>
        <w:p/>
      </w:tc>
      <w:tc>
        <w:tcPr>
          <w:tcW w:type="pct" w:w="1730"/>
          <w:shd w:color="auto" w:val="clear" w:fill="EC671A"/>
        </w:tcPr>
        <w:p>
          <w:pPr>
            <w:spacing w:beforeLines="20" w:after="20"/>
            <w:ind w:left="60" w:right="0"/>
            <w:jc w:val="left"/>
          </w:pPr>
          <w:r>
            <w:rPr>
              <w:sz w:val="18"/>
              <w:color w:val="FFFFFF"/>
              <w:b w:val="off"/>
              <w:u w:val="none"/>
            </w:rPr>
            <w:t>Speciale uitrusting</w:t>
          </w:r>
        </w:p>
      </w:tc>
      <w:tc>
        <w:tcPr>
          <w:tcW w:type="pct" w:w="740"/>
          <w:shd w:color="auto" w:val="clear" w:fill="EC671A"/>
        </w:tcPr>
        <w:p>
          <w:pPr>
            <w:spacing w:beforeLines="20" w:after="40"/>
            <w:ind w:left="0" w:right="60"/>
            <w:jc w:val="end"/>
          </w:pPr>
          <w:r>
            <w:rPr>
              <w:sz w:val="18"/>
              <w:color w:val="FFFFFF"/>
              <w:b w:val="off"/>
              <w:u w:val="none"/>
            </w:rPr>
            <w:t>19.623 €</w:t>
          </w:r>
        </w:p>
      </w:tc>
    </w:tr>
    <w:tr>
      <w:tc>
        <w:tcPr>
          <w:tcW w:type="pct" w:w="1730"/>
          <w:shd w:color="auto" w:val="clear" w:fill="64666B"/>
          <w:vAlign w:val="center"/>
        </w:tcPr>
        <w:p>
          <w:pPr>
            <w:spacing w:beforeLines="20" w:after="60"/>
            <w:ind w:left="60" w:right="0"/>
            <w:jc w:val="left"/>
          </w:pPr>
          <w:r>
            <w:rPr>
              <w:sz w:val="28"/>
              <w:color w:val="FFFFFF"/>
              <w:b w:val="on"/>
              <w:u w:val="none"/>
            </w:rPr>
            <w:t>Basisprijs basisvoertuig</w:t>
          </w:r>
        </w:p>
      </w:tc>
      <w:tc>
        <w:tcPr>
          <w:tcW w:type="pct" w:w="740"/>
          <w:shd w:color="auto" w:val="clear" w:fill="64666B"/>
          <w:vAlign w:val="center"/>
        </w:tcPr>
        <w:p>
          <w:pPr>
            <w:spacing w:beforeLines="20" w:after="60"/>
            <w:ind w:left="0" w:right="60"/>
            <w:jc w:val="end"/>
          </w:pPr>
          <w:r>
            <w:rPr>
              <w:sz w:val="28"/>
              <w:color w:val="FFFFFF"/>
              <w:b w:val="on"/>
              <w:u w:val="none"/>
            </w:rPr>
            <w:t>90.758 €</w:t>
          </w:r>
        </w:p>
      </w:tc>
      <w:tc>
        <w:tcPr>
          <w:vMerge w:val="continue"/>
        </w:tcPr>
        <w:p/>
      </w:tc>
      <w:tc>
        <w:tcPr>
          <w:tcW w:type="pct" w:w="1730"/>
          <w:tcBorders>
            <w:top w:val="single" w:sz="15" w:color="FFFFFF"/>
          </w:tcBorders>
          <w:shd w:color="auto" w:val="clear" w:fill="EC671A"/>
          <w:vAlign w:val="center"/>
        </w:tcPr>
        <w:p>
          <w:pPr>
            <w:spacing w:beforeLines="0" w:after="60"/>
            <w:ind w:left="60" w:right="0"/>
            <w:jc w:val="left"/>
          </w:pPr>
          <w:r>
            <w:rPr>
              <w:sz w:val="28"/>
              <w:color w:val="FFFFFF"/>
              <w:b w:val="on"/>
              <w:u w:val="none"/>
            </w:rPr>
            <w:t>Tentoonstellingsvoertuig</w:t>
          </w:r>
        </w:p>
      </w:tc>
      <w:tc>
        <w:tcPr>
          <w:tcW w:type="pct" w:w="740"/>
          <w:tcBorders>
            <w:top w:val="single" w:sz="15" w:color="FFFFFF"/>
          </w:tcBorders>
          <w:shd w:color="auto" w:val="clear" w:fill="EC671A"/>
          <w:vAlign w:val="center"/>
        </w:tcPr>
        <w:p>
          <w:pPr>
            <w:spacing w:beforeLines="0" w:after="60"/>
            <w:ind w:left="0" w:right="60"/>
            <w:jc w:val="end"/>
          </w:pPr>
          <w:r>
            <w:rPr>
              <w:sz w:val="28"/>
              <w:color w:val="FFFFFF"/>
              <w:b w:val="on"/>
              <w:u w:val="none"/>
            </w:rPr>
            <w:t>110.381 €</w:t>
          </w:r>
        </w:p>
      </w:tc>
    </w:tr>
    <w:tr>
      <w:tc>
        <w:tcPr>
          <w:tcW w:type="pct" w:w="2475"/>
          <w:hMerge w:val="restart"/>
          <w:vAlign w:val="bottom"/>
        </w:tcPr>
        <w:p>
          <w:pPr>
            <w:spacing w:beforeLines="10" w:after="10"/>
            <w:ind w:left="60" w:right="0"/>
            <w:jc w:val="left"/>
          </w:pPr>
          <w:r>
            <w:rPr>
              <w:sz w:val="16"/>
              <w:color w:val="64666B"/>
              <w:b w:val="off"/>
              <w:u w:val="none"/>
            </w:rPr>
            <w:t>Visit WEINSBERG here:</w:t>
          </w:r>
        </w:p>
      </w:tc>
      <w:tc>
        <w:tcPr>
          <w:hMerge w:val="continue"/>
        </w:tcPr>
        <w:p/>
      </w:tc>
      <w:tc>
        <w:tcPr>
          <w:vMerge w:val="continue"/>
        </w:tcPr>
        <w:p/>
      </w:tc>
      <w:tc>
        <w:tcPr>
          <w:tcW w:type="pct" w:w="2475"/>
          <w:hMerge w:val="restart"/>
        </w:tcPr>
        <w:p>
          <w:pPr>
            <w:spacing w:beforeLines="10" w:after="10"/>
            <w:ind w:left="0" w:right="60"/>
            <w:jc w:val="end"/>
          </w:pPr>
          <w:r>
            <w:rPr>
              <w:sz w:val="16"/>
              <w:color w:val="64666B"/>
              <w:b w:val="off"/>
              <w:u w:val="none"/>
            </w:rPr>
            <w:t>Incl. 21% BTW</w:t>
            <w:br/>
          </w:r>
          <w:r>
            <w:rPr>
              <w:sz w:val="16"/>
              <w:color w:val="64666B"/>
              <w:b w:val="off"/>
              <w:u w:val="none"/>
            </w:rPr>
            <w:t>Incl. 17.077 € BPM (voorlopig indicatief bedrag)</w:t>
          </w:r>
        </w:p>
      </w:tc>
      <w:tc>
        <w:tcPr>
          <w:hMerge w:val="continue"/>
        </w:tcPr>
        <w:p/>
      </w:tc>
    </w:tr>
    <w:tr>
      <w:tc>
        <w:tcPr>
          <w:tcW w:type="pct" w:w="2475"/>
          <w:hMerge w:val="restart"/>
        </w:tcPr>
        <w:p>
          <w:pPr>
            <w:spacing w:beforeLines="10" w:after="400"/>
            <w:ind w:left="60" w:right="0"/>
            <w:jc w:val="left"/>
          </w:pPr>
          <w:r>
            <w:rPr>
              <w:sz w:val="16"/>
              <w:color w:val="64666B"/>
              <w:b w:val="on"/>
              <w:u w:val="none"/>
            </w:rPr>
            <w:t>https://weinsberg.com/nl-nl</w:t>
          </w:r>
        </w:p>
      </w:tc>
      <w:tc>
        <w:tcPr>
          <w:hMerge w:val="continue"/>
        </w:tcPr>
        <w:p/>
      </w:tc>
      <w:tc>
        <w:tcPr>
          <w:vMerge w:val="continue"/>
        </w:tcPr>
        <w:p/>
      </w:tc>
      <w:tc>
        <w:tcPr>
          <w:tcW w:type="pct" w:w="2475"/>
          <w:hMerge w:val="restart"/>
        </w:tcPr>
        <w:p>
          <w:pPr>
            <w:spacing w:beforeLines="10" w:after="400"/>
            <w:ind w:left="0" w:right="60"/>
            <w:jc w:val="end"/>
          </w:pPr>
          <w:r>
            <w:rPr>
              <w:sz w:val="16"/>
              <w:color w:val="64666B"/>
              <w:b w:val="off"/>
              <w:u w:val="none"/>
            </w:rPr>
            <w:t>Wijzigingen en fouten voorbehouden.</w:t>
          </w:r>
        </w:p>
      </w:tc>
      <w:tc>
        <w:tcPr>
          <w:hMerge w:val="continue"/>
        </w:tcPr>
        <w:p/>
      </w:tc>
    </w:tr>
  </w:tbl>
</w:ftr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="Arial" w:eastAsia="Arial" w:hAnsi="Arial"/>
      </w:rPr>
    </w:rPrDefault>
    <w:pPrDefault>
      <w:pPr/>
    </w:pPrDefault>
  </w:docDefaults>
</w:style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footer1.xml" Type="http://schemas.openxmlformats.org/officeDocument/2006/relationships/footer"/><Relationship Id="rId11" Target="media/image8.png" Type="http://schemas.openxmlformats.org/officeDocument/2006/relationships/image"/><Relationship Id="rId12" Target="https://eprel.ec.europa.eu/screen/product/tyres/489674" TargetMode="External" Type="http://schemas.openxmlformats.org/officeDocument/2006/relationships/hyperlink"/><Relationship Id="rId13" Target="media/image9.png" Type="http://schemas.openxmlformats.org/officeDocument/2006/relationships/image"/><Relationship Id="rId14" Target="https://eprel.ec.europa.eu/screen/product/tyres/658868" TargetMode="External" Type="http://schemas.openxmlformats.org/officeDocument/2006/relationships/hyperlink"/><Relationship Id="rId2" Target="styles.xml" Type="http://schemas.openxmlformats.org/officeDocument/2006/relationships/styles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Relationship Id="rId6" Target="media/image4.png" Type="http://schemas.openxmlformats.org/officeDocument/2006/relationships/image"/><Relationship Id="rId7" Target="media/image5.png" Type="http://schemas.openxmlformats.org/officeDocument/2006/relationships/image"/><Relationship Id="rId8" Target="media/image6.png" Type="http://schemas.openxmlformats.org/officeDocument/2006/relationships/image"/><Relationship Id="rId9" Target="media/image7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2025-07-11T13:33:31Z</dcterms:created>
  <dc:creator>Apache POI</dc:creator>
</cp:coreProperties>
</file>