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CaraTour 600 ME (2024)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center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da9cfc8d4caac2566071f8a82d170a6f76b1a1c5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a9cfc8d4caac2566071f8a82d170a6f76b1a1c5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/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FIAT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103 kW / 140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man.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2" name="Drawing 2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2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6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3.500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599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205 / 187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258 / 190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zitgroep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145 x 70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achter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180 x 85; 200 x 85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gastenbed, optioneel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180 x 70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3.500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2.820 (2.679 - 2.961)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200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24.977 €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Motorisering / Aandrijving / Gewichtsverhoging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FIAT Ducato 3.500 kg***; 2,2 l 140 Multijet met Start-Stop-System incl. slimme dynamo (220 A); voorwielaandrijving; Euro 6d-Final (103 kW/140 pk)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2.218 €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9 traps automatische versnellingsbak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4.618 €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Chassis / Airco / Multimedia / Transportsystemen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Chassis in metallic-lak: artense grey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1.214 €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Voetmatten set in de cabine in WEINSBERG design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Virtuele cockpit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593 €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Pakketten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FIAT pakket – WEINSBERG Camper Vans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905 €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Pakket WEINSBERG SMART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1.612 €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Styling pakket Black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2.314 €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Media pakket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2.735 €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Functie pakket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325 €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Voltage pakket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691 €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Arctic Pakket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1.270 €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Deuren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Hordeur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541 €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Ramen / Dakramen / Ontluchting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Ingelegde ramen SEITZ S7P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1.031 €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EasySpace-uitbreiding: cabine-uitbreiding met doorlopende opbergkasten (zoals bij uitvoering met panoramavenster), zonder panoramavenster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687 €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Dakraam (hef-kiep) 70 x 50 cm met insectenhor en verduistering, (voor)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518 €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(afmeting ontbreekt), achter rechts (met insectenhor en verduistering)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396 €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raam, achter links (met insectenhor en verduistering)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396 €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Wonen / Slapen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EvoPore HRC matras incl. WaterGEL toplaag, alleen vaste bedden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500 €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Bekledingsstof keuze: ACTIVE ROCK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430 €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Gas / Verwarming / Airco / Water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TRUMA MonoControl CS incl. gasfilter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389 €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Rookmelder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37 €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Gasmelder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146 €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Luifels / Optie luifels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375 x 250 cm, antraciet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1.312 €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pageBreakBefore w:val="on"/>
      </w:pPr>
    </w:p>
    <w:p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Lines="75"/>
      </w:pPr>
      <w:r>
        <w:rPr>
          <w:sz w:val="20"/>
          <w:b w:val="on"/>
        </w:rPr>
        <w:t>EU-bandenlabel:</w:t>
      </w:r>
    </w:p>
    <w:tbl>
      <w:tblPr>
        <w:tblW w:w="5000" w:type="pct"/>
      </w:tblP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>201815 - Lichtmetalen velgen voor standaard banden</w:t>
            </w:r>
          </w:p>
          <w:p>
            <w:pPr>
              <w:spacing w:after="0" w:afterLines="0"/>
            </w:pPr>
            <w:r>
              <w:rPr>
                <w:sz w:val="20"/>
                <w:b w:val="on"/>
              </w:rPr>
              <w:t>202132 - 16" banden</w:t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rPr>
                <w:sz w:val="20"/>
                <w:b w:val="on"/>
              </w:rPr>
              <w:t xml:space="preserve">  </w:t>
            </w:r>
          </w:p>
          <w:p>
            <w:pPr>
              <w:spacing w:after="0" w:afterLines="0"/>
            </w:pPr>
            <w:r>
              <w:rPr>
                <w:sz w:val="20"/>
                <w:b w:val="on"/>
              </w:rPr>
              <w:t>203808 - All weather banden. Geschikt voor alle seizoenen, speciaal ontworpen voor campers en Camper Vans’s met betere efficiëntsklasse.</w:t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6" name="Drawing 6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pPr>
              <w:spacing w:after="0" w:afterLines="0"/>
            </w:pPr>
            <w:r>
              <w:drawing>
                <wp:inline distT="0" distR="0" distB="0" distL="0">
                  <wp:extent cx="1828800" cy="3073400"/>
                  <wp:docPr id="7" name="Drawing 7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7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2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tcPr>
            <w:tcBorders>
              <w:right w:val="single" w:color="cccccc"/>
            </w:tcBorders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>
            <w:hyperlink r:id="rId14">
              <w:r>
                <w:rPr>
                  <w:sz w:val="20"/>
                  <w:b w:val="off"/>
                </w:rPr>
                <w:t>.</w:t>
              </w:r>
            </w:hyperlink>
          </w:p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  <w:tr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  <w:tc>
          <w:tcPr>
            <w:tcW w:type="dxa" w:w="2933"/>
            <w:shd w:color="auto" w:val="clear" w:fill=""/>
          </w:tcPr>
          <w:p/>
        </w:tc>
        <w:tc>
          <w:tcPr>
            <w:tcW w:type="dxa" w:w="1048"/>
            <w:shd w:color="auto" w:val="clear" w:fill=""/>
          </w:tcPr>
          <w:p/>
        </w:tc>
      </w:tr>
    </w:tbl>
    <w:p>
      <w:r>
        <w:rPr>
          <w:sz w:val="20"/>
          <w:b w:val="off"/>
        </w:rPr>
        <w:t>Om logistieke en productieredenen is het niet mogelijk een specifiek bandenmerk te bestellen.</w:t>
      </w:r>
    </w:p>
    <w:p>
      <w:r>
        <w:rPr>
          <w:sz w:val="20"/>
          <w:b w:val="off"/>
        </w:rPr>
        <w:t>Wijzigingen en fouten voorbehouden.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0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2475"/>
          <w:hMerge w:val="restart"/>
          <w:vMerge w:val="restart"/>
          <w:shd w:color="auto" w:val="clear" w:fill="64666B"/>
        </w:tcPr>
        <w:p/>
      </w:tc>
      <w:tc>
        <w:tcPr>
          <w:hMerge w:val="continue"/>
          <w:vMerge w:val="restart"/>
        </w:tcPr>
        <w:p/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71.420 €</w:t>
          </w:r>
        </w:p>
      </w:tc>
    </w:tr>
    <w:tr>
      <w:tc>
        <w:tcPr>
          <w:hMerge w:val="restart"/>
          <w:vMerge w:val="continue"/>
        </w:tcPr>
        <w:p/>
      </w:tc>
      <w:tc>
        <w:tcPr>
          <w:hMerge w:val="continue"/>
          <w:vMerge w:val="continue"/>
        </w:tcPr>
        <w:p/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24.977 €</w:t>
          </w:r>
        </w:p>
      </w:tc>
    </w:tr>
    <w:tr>
      <w:tc>
        <w:tcPr>
          <w:tcW w:type="pct" w:w="1730"/>
          <w:shd w:color="auto" w:val="clear" w:fill="64666B"/>
          <w:vAlign w:val="center"/>
        </w:tcPr>
        <w:p>
          <w:pPr>
            <w:spacing w:beforeLines="2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  <w:vAlign w:val="center"/>
        </w:tcPr>
        <w:p>
          <w:pPr>
            <w:spacing w:beforeLines="2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71.420 €</w:t>
          </w:r>
        </w:p>
      </w:tc>
      <w:tc>
        <w:tcPr>
          <w:vMerge w:val="continue"/>
        </w:tcPr>
        <w:p/>
      </w:tc>
      <w:tc>
        <w:tcPr>
          <w:tcW w:type="pct" w:w="1730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96.397 €</w:t>
          </w:r>
        </w:p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12.940 €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footer1.xml" Type="http://schemas.openxmlformats.org/officeDocument/2006/relationships/footer"/><Relationship Id="rId11" Target="media/image8.png" Type="http://schemas.openxmlformats.org/officeDocument/2006/relationships/image"/><Relationship Id="rId12" Target="https://eprel.ec.europa.eu/screen/product/tyres/481527" TargetMode="External" Type="http://schemas.openxmlformats.org/officeDocument/2006/relationships/hyperlink"/><Relationship Id="rId13" Target="media/image9.png" Type="http://schemas.openxmlformats.org/officeDocument/2006/relationships/image"/><Relationship Id="rId14" Target="https://eprel.ec.europa.eu/screen/product/tyres/587955" TargetMode="External" Type="http://schemas.openxmlformats.org/officeDocument/2006/relationships/hyperlink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2025-07-14T13:44:15Z</dcterms:created>
  <dc:creator>Apache POI</dc:creator>
</cp:coreProperties>
</file>