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CaraCompact MB 640 MEG (2023)</w:t>
      </w:r>
      <w:r>
        <w:rPr>
          <w:spacing w:val="60"/>
          <w:sz w:val="32"/>
          <w:color w:val="64666B"/>
          <w:b w:val="on"/>
          <w:u w:val="none"/>
        </w:rPr>
        <w:br/>
        <w:t>EDITION [PEPPER]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bottom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26c208a9c629b375e10c38de3e1621c09c1ed77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26c208a9c629b375e10c38de3e1621c09c1ed773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>
            <w:pPr>
              <w:spacing w:beforeLines="40" w:afterLines="15" w:line="312" w:lineRule="auto"/>
              <w:ind w:right="160" w:left="20"/>
              <w:jc w:val="end"/>
              <w:textAlignment w:val="center"/>
            </w:pPr>
            <w:r>
              <w:drawing>
                <wp:anchor simplePos="0" relativeHeight="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1550" cy="476250"/>
                  <wp:effectExtent l="0" t="0" r="0" b="0"/>
                  <wp:wrapNone/>
                  <wp:docPr id="1" name="Drawing 0" descr="weinsberg-stoer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toerer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b w:val="off"/>
              </w:rPr>
              <w:t>Bespaar tot 24.079 €!</w:t>
              <w:br/>
            </w:r>
            <w:r>
              <w:rPr>
                <w:color w:val="FFFFFF"/>
                <w:sz w:val="24"/>
                <w:b w:val="off"/>
              </w:rPr>
              <w:t>24.079 €</w:t>
            </w:r>
          </w:p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Mercedes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125 kW / 170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autom.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7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6" name="Drawing 6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692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230 / 212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286 / 200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 x 200 x 82 cm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2.880 (2.736 - 3.024)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75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modeluitrusting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25.909 €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Compleet antennesysteem Oyster 80 premium twin incl. 24" SMART TV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cabine, halfautomatisch TEMPMATIC (HH9)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Radio met DAB+, All-in One navigatiesysteem en campingsoftware, zonder CD/DVD speler, incl. DAB+ / FM antenne. Incl. 3 jaar kaartupdates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Lichtmetalen velgen voor standaard banden (RL5)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405 x 250 cm, wit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Voor- en zijramen verduistering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Voorbumper en aanbouwdelen gespoten in voertuigkleur (CM2)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iNetX MASTER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Achteruitrijcamera incl. bekabeling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dakraam in de cabinekap met insectenhor en verduistering, voorin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Cabinestoelen draaibaar</w:t>
                  </w:r>
                </w:p>
              </w:tc>
              <w:tc>
                <w:tcPr>
                  <w:tcW w:w="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200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Beduitbreiding naar groot ligvlak</w:t>
                  </w:r>
                </w:p>
              </w:tc>
              <w:tc>
                <w:tcPr>
                  <w:tcW w:w="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/>
                  </w:r>
                </w:p>
              </w:tc>
            </w:tr>
          </w:tbl>
          <w:p/>
        </w:tc>
      </w:tr>
    </w:tbl>
    <w:p>
      <w:pPr>
        <w:spacing w:before="10" w:beforeLines="0" w:after="0" w:afterLines="0"/>
      </w:pPr>
      <w:r>
        <w:rPr>
          <w:sz w:val="0"/>
        </w:rPr>
        <w:t>​</w:t>
      </w:r>
    </w:p>
    <w:p>
      <w:pPr>
        <w:spacing w:line="240" w:lineRule="auto"/>
        <w:ind w:left="55"/>
      </w:pPr>
      <w:r>
        <w:rPr>
          <w:color w:val="64666B"/>
          <w:sz w:val="20"/>
        </w:rPr>
        <w:t>Cruise control (MS1) • Dakraam (hef-kiep) 70 x 50 cm met insectenhor en verduistering, (voor) • Verwarmde en elektrisch verstelbare buitenspiegels (F68) • Garagedeur 80 x 115 cm, links • Armleuningen aan beide zijden van bestuurders- en passagiersstoel (S36+S38) • All-season banden camper (RC3) • Hordeur • Radio voorbereiding incl. 2 luidsprekers (ER0) • Waterfiltersysteem "bluuwater" • TV-houder • Ambiënteverlichting (LED-lichtband bij opbergkast voorin, opbergkast achterin, opbergkast keuken) • Stuurwiel en versnellingspook in leder bekleed (CL2)...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22.151 €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3.500 kg*** Mercedes Sprinter (317CDI), 125 kW / 170 pk (MU5), TDI, EuroVI, voorwielaandrijving, automatische versnelling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5.301 €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Hot [PEPPER] Pakket MERCEDES [PEPPER]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5.238 €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Licht &amp; zichtpakket [PEPPER]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3.394 €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Lithium ion boordaccu i.p.v. standaard boordaccu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1.321 €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Opbouwdeur: WEINSBERG EXKLUSIV: met raam en geïntegreerde coming home verlichting, meervoudige vergrendeling, verdekte scharnieren, openingsbegrenzing /...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1.031 €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978 €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Elektrische vloer bijverwarming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860 €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Kachel TRUMA Combi E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859 €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Electrisch bedienbare opstap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628 €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DuoControl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521 €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415 €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THULE garagesysteem 1: 2 stuks multifunctionele houders voor aan de achterwand incl. vuilafstotend rubber; 2 stuks spanbanden incl. ratelaar en 6 stuks...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70 x 40 cm, (achter links)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348 €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 buitenaansluiting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273 €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8" name="Drawing 8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3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5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243662 - 16" banden (RG8)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tcPr>
            <w:tcBorders>
              <w:top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  <w:tc>
          <w:tcPr>
            <w:tcW w:type="dxa" w:w="2933"/>
            <w:shd w:color="auto" w:val="clear" w:fill=""/>
          </w:tcPr>
          <w:tcPr>
            <w:tcBorders>
              <w:top w:val="single" w:color="cccccc"/>
            </w:tcBorders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243665 - All-season banden camper (RC3)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top w:val="single" w:color="cccccc"/>
            </w:tcBorders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9" name="Drawing 9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10" name="Drawing 10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7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9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1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1730"/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102.629 €</w:t>
          </w:r>
        </w:p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speciaal model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104.459 €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modeluitrusting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25.909 €</w:t>
          </w:r>
        </w:p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22.151 €</w:t>
          </w:r>
        </w:p>
      </w:tc>
    </w:tr>
    <w:tr>
      <w:tc>
        <w:tcPr>
          <w:tcW w:type="pct" w:w="173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n"/>
              <w:u w:val="none"/>
            </w:rPr>
            <w:t>Basisprijs speciaal model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64666B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n"/>
              <w:u w:val="none"/>
            </w:rPr>
            <w:t>104.459 €</w:t>
          </w:r>
        </w:p>
      </w:tc>
      <w:tc>
        <w:tcPr>
          <w:vMerge w:val="continue"/>
        </w:tcPr>
        <w:p/>
      </w:tc>
      <w:tc>
        <w:tcPr>
          <w:tcW w:type="pct" w:w="173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vMerge w:val="restart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126.610 €</w:t>
          </w:r>
        </w:p>
      </w:tc>
    </w:tr>
    <w:tr>
      <w:tc>
        <w:tcPr>
          <w:tcW w:type="pct" w:w="1730"/>
          <w:shd w:color="auto" w:val="clear" w:fill="64666B"/>
        </w:tcPr>
        <w:p>
          <w:pPr>
            <w:spacing w:beforeLines="20" w:after="4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Besparingen</w:t>
          </w:r>
        </w:p>
      </w:tc>
      <w:tc>
        <w:tcPr>
          <w:tcW w:type="pct" w:w="740"/>
          <w:shd w:color="auto" w:val="clear" w:fill="64666B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24.079 €</w:t>
          </w:r>
        </w:p>
      </w:tc>
      <w:tc>
        <w:tcPr>
          <w:vMerge w:val="continue"/>
        </w:tcPr>
        <w:p/>
      </w:tc>
      <w:tc>
        <w:tcPr>
          <w:vMerge w:val="continue"/>
        </w:tcPr>
        <w:p/>
      </w:tc>
      <w:tc>
        <w:tcPr>
          <w:vMerge w:val="continue"/>
        </w:tcPr>
        <w:p/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18.874 €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8.png" Type="http://schemas.openxmlformats.org/officeDocument/2006/relationships/image"/><Relationship Id="rId11" Target="footer1.xml" Type="http://schemas.openxmlformats.org/officeDocument/2006/relationships/footer"/><Relationship Id="rId12" Target="media/image9.png" Type="http://schemas.openxmlformats.org/officeDocument/2006/relationships/image"/><Relationship Id="rId13" Target="https://eprel.ec.europa.eu/screen/product/tyres/413099" TargetMode="External" Type="http://schemas.openxmlformats.org/officeDocument/2006/relationships/hyperlink"/><Relationship Id="rId14" Target="media/image10.png" Type="http://schemas.openxmlformats.org/officeDocument/2006/relationships/image"/><Relationship Id="rId15" Target="https://eprel.ec.europa.eu/screen/product/tyres/481493" TargetMode="External" Type="http://schemas.openxmlformats.org/officeDocument/2006/relationships/hyperlink"/><Relationship Id="rId16" Target="media/image11.png" Type="http://schemas.openxmlformats.org/officeDocument/2006/relationships/image"/><Relationship Id="rId17" Target="https://eprel.ec.europa.eu/screen/product/tyres/525843" TargetMode="External" Type="http://schemas.openxmlformats.org/officeDocument/2006/relationships/hyperlink"/><Relationship Id="rId18" Target="media/image12.png" Type="http://schemas.openxmlformats.org/officeDocument/2006/relationships/image"/><Relationship Id="rId19" Target="https://eprel.ec.europa.eu/screen/product/tyres/671841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2025-07-11T10:48:38Z</dcterms:created>
  <dc:creator>Apache POI</dc:creator>
</cp:coreProperties>
</file>