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xsi="http://www.w3.org/2001/XMLSchema-instance">
  <w:body>
    <w:p>
      <w:pPr>
        <w:spacing w:before="0" w:beforeLines="0" w:after="0" w:afterLines="0"/>
      </w:pPr>
      <w:r>
        <w:drawing>
          <wp:anchor xmlns:wp14="http://schemas.microsoft.com/office/word/2010/wordprocessingDrawing" distT="0" distB="0" distL="114300" distR="114300" simplePos="0" relativeHeight="251658240" behindDoc="1" locked="0" layoutInCell="1" allowOverlap="1" wp14:anchorId="16D108A6" wp14:editId="351B374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10692000"/>
            <wp:effectExtent l="0" t="0" r="0" b="0"/>
            <wp:wrapNone/>
            <wp:docPr id="1" name="Graf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106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52"/>
          <w:color w:val="EC671A"/>
          <w:b w:val="off"/>
          <w:u w:val="none"/>
        </w:rPr>
        <w:t>CaraCompact MB 640 MEG (2024)</w:t>
      </w:r>
      <w:r>
        <w:rPr>
          <w:spacing w:val="60"/>
          <w:sz w:val="32"/>
          <w:color w:val="64666B"/>
          <w:b w:val="on"/>
          <w:u w:val="none"/>
        </w:rPr>
        <w:br/>
        <w:t>EDITION [PEPPER]</w:t>
      </w:r>
    </w:p>
    <w:p>
      <w:pPr>
        <w:spacing w:before="80" w:beforeLines="0" w:after="0" w:afterLines="0"/>
      </w:pPr>
      <w:r>
        <w:rPr>
          <w:sz w:val="0"/>
        </w:rPr>
        <w:t>​</w:t>
      </w:r>
    </w:p>
    <w:tbl>
      <w:tblPr>
        <w:tblW w:w="5000" w:type="pct"/>
      </w:tblPr>
      <w:tr>
        <w:tc>
          <w:tcPr>
            <w:tcW w:type="pct" w:w="1600"/>
            <w:vMerge w:val="restart"/>
            <w:vAlign w:val="bottom"/>
          </w:tcPr>
          <w:p>
            <w:pPr>
              <w:spacing w:before="0" w:after="0"/>
              <w:jc w:val="left"/>
            </w:pPr>
            <w:r>
              <w:drawing>
                <wp:inline distT="0" distR="0" distB="0" distL="0">
                  <wp:extent cx="2268000" cy="925344"/>
                  <wp:docPr id="0" name="Drawing 0" descr="26c208a9c629b375e10c38de3e1621c09c1ed773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26c208a9c629b375e10c38de3e1621c09c1ed773.png"/>
                          <pic:cNvPicPr>
                            <a:picLocks noChangeAspect="true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8000" cy="92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pct" w:w="850"/>
            <w:vMerge w:val="restart"/>
          </w:tcPr>
          <w:p>
            <w:pPr>
              <w:spacing w:beforeLines="40" w:afterLines="15" w:line="312" w:lineRule="auto"/>
              <w:ind w:right="160" w:left="20"/>
              <w:jc w:val="end"/>
              <w:textAlignment w:val="center"/>
            </w:pPr>
            <w:r>
              <w:drawing>
                <wp:anchor simplePos="0" relativeHeight="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71550" cy="476250"/>
                  <wp:effectExtent l="0" t="0" r="0" b="0"/>
                  <wp:wrapNone/>
                  <wp:docPr id="1" name="Drawing 0" descr="weinsberg-stoerer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einsberg-stoerer.png"/>
                          <pic:cNvPicPr>
                            <a:picLocks noChangeAspect="true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FFFFFF"/>
                <w:sz w:val="20"/>
                <w:b w:val="off"/>
              </w:rPr>
              <w:t>Bespaar tot 23.341 €!</w:t>
              <w:br/>
            </w:r>
            <w:r>
              <w:rPr>
                <w:color w:val="FFFFFF"/>
                <w:sz w:val="24"/>
                <w:b w:val="off"/>
              </w:rPr>
              <w:t>23.341 €</w:t>
            </w:r>
          </w:p>
        </w:tc>
        <w:tc>
          <w:tcPr>
            <w:tcW w:type="pct" w:w="100"/>
            <w:vMerge w:val="restart"/>
          </w:tcPr>
          <w:p>
            <w:pPr>
              <w:spacing w:beforeLines="0" w:after="0"/>
              <w:ind w:left="0" w:right="0"/>
              <w:jc w:val="left"/>
            </w:pPr>
            <w:r>
              <w:rPr>
                <w:sz w:val="24"/>
                <w:color w:val="000000"/>
                <w:b w:val="off"/>
                <w:u w:val="none"/>
              </w:rPr>
              <w:t xml:space="preserve"> </w:t>
            </w:r>
          </w:p>
        </w:tc>
        <w:tc>
          <w:tcPr>
            <w:tcW w:type="pct" w:w="1900"/>
            <w:hMerge w:val="restart"/>
            <w:shd w:color="auto" w:val="clear" w:fill="64666B"/>
          </w:tcPr>
          <w:p>
            <w:pPr>
              <w:spacing w:beforeLines="80" w:after="25"/>
              <w:ind w:left="150" w:right="0"/>
              <w:jc w:val="left"/>
            </w:pPr>
            <w:r>
              <w:rPr>
                <w:sz w:val="20"/>
                <w:color w:val="FFFFFF"/>
                <w:b w:val="off"/>
                <w:u w:val="none"/>
              </w:rPr>
              <w:t>VOERTUIG</w:t>
            </w:r>
          </w:p>
        </w:tc>
        <w:tc>
          <w:tcPr>
            <w:hMerge w:val="continue"/>
          </w:tcPr>
          <w:p/>
        </w:tc>
        <w:tc>
          <w:tcPr>
            <w:tcW w:type="pct" w:w="900"/>
            <w:vMerge w:val="restart"/>
            <w:shd w:color="auto" w:val="clear" w:fill="64666B"/>
            <w:vAlign w:val="center"/>
          </w:tcPr>
          <w:p>
            <w:pPr>
              <w:spacing w:before="0" w:beforeLines="0" w:after="0" w:afterLines="0"/>
              <w:jc w:val="center"/>
            </w:pPr>
            <w:r>
              <w:drawing>
                <wp:inline distT="0" distR="0" distB="0" distL="0">
                  <wp:extent cx="960120" cy="960120"/>
                  <wp:docPr id="1" name="Drawing 1" descr="generatedQrCode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neratedQrCode"/>
                          <pic:cNvPicPr>
                            <a:picLocks noChangeAspect="true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0" cy="960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type="pct" w:w="1000"/>
            <w:shd w:color="auto" w:val="clear" w:fill="64666B"/>
          </w:tcPr>
          <w:p>
            <w:pPr>
              <w:spacing w:beforeLines="25" w:after="25"/>
              <w:ind w:left="150" w:right="0"/>
              <w:jc w:val="left"/>
            </w:pPr>
            <w:r>
              <w:rPr>
                <w:sz w:val="18"/>
                <w:color w:val="FFFFFF"/>
                <w:b w:val="off"/>
                <w:u w:val="none"/>
              </w:rPr>
              <w:t>Chassis</w:t>
            </w:r>
          </w:p>
        </w:tc>
        <w:tc>
          <w:tcPr>
            <w:tcW w:type="pct" w:w="900"/>
            <w:shd w:color="auto" w:val="clear" w:fill="64666B"/>
          </w:tcPr>
          <w:p>
            <w:pPr>
              <w:spacing w:beforeLines="25" w:after="25"/>
              <w:ind w:left="150" w:right="0"/>
              <w:jc w:val="left"/>
            </w:pPr>
            <w:r>
              <w:rPr>
                <w:sz w:val="18"/>
                <w:color w:val="FFFFFF"/>
                <w:b w:val="off"/>
                <w:u w:val="none"/>
              </w:rPr>
              <w:t>Mercedes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type="pct" w:w="1000"/>
            <w:shd w:color="auto" w:val="clear" w:fill="64666B"/>
          </w:tcPr>
          <w:p>
            <w:pPr>
              <w:spacing w:beforeLines="25" w:after="25"/>
              <w:ind w:left="150" w:right="0"/>
              <w:jc w:val="left"/>
            </w:pPr>
            <w:r>
              <w:rPr>
                <w:sz w:val="18"/>
                <w:color w:val="FFFFFF"/>
                <w:b w:val="off"/>
                <w:u w:val="none"/>
              </w:rPr>
              <w:t>Vermogen</w:t>
            </w:r>
          </w:p>
        </w:tc>
        <w:tc>
          <w:tcPr>
            <w:tcW w:type="pct" w:w="900"/>
            <w:shd w:color="auto" w:val="clear" w:fill="64666B"/>
          </w:tcPr>
          <w:p>
            <w:pPr>
              <w:spacing w:beforeLines="25" w:after="25"/>
              <w:ind w:left="150" w:right="0"/>
              <w:jc w:val="left"/>
            </w:pPr>
            <w:r>
              <w:rPr>
                <w:sz w:val="18"/>
                <w:color w:val="FFFFFF"/>
                <w:b w:val="off"/>
                <w:u w:val="none"/>
              </w:rPr>
              <w:t>125 kW / 170 PS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type="pct" w:w="1000"/>
            <w:shd w:color="auto" w:val="clear" w:fill="64666B"/>
          </w:tcPr>
          <w:p>
            <w:pPr>
              <w:spacing w:beforeLines="25" w:after="25"/>
              <w:ind w:left="150" w:right="0"/>
              <w:jc w:val="left"/>
            </w:pPr>
            <w:r>
              <w:rPr>
                <w:sz w:val="18"/>
                <w:color w:val="FFFFFF"/>
                <w:b w:val="off"/>
                <w:u w:val="none"/>
              </w:rPr>
              <w:t>Versnellingsbak</w:t>
            </w:r>
          </w:p>
        </w:tc>
        <w:tc>
          <w:tcPr>
            <w:tcW w:type="pct" w:w="900"/>
            <w:shd w:color="auto" w:val="clear" w:fill="64666B"/>
          </w:tcPr>
          <w:p>
            <w:pPr>
              <w:spacing w:beforeLines="25" w:after="25"/>
              <w:ind w:left="150" w:right="0"/>
              <w:jc w:val="left"/>
            </w:pPr>
            <w:r>
              <w:rPr>
                <w:sz w:val="18"/>
                <w:color w:val="FFFFFF"/>
                <w:b w:val="off"/>
                <w:u w:val="none"/>
              </w:rPr>
              <w:t>autom.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type="pct" w:w="1000"/>
            <w:shd w:color="auto" w:val="clear" w:fill="64666B"/>
          </w:tcPr>
          <w:p/>
        </w:tc>
        <w:tc>
          <w:tcPr>
            <w:tcW w:type="pct" w:w="900"/>
            <w:shd w:color="auto" w:val="clear" w:fill="64666B"/>
          </w:tcPr>
          <w:p/>
        </w:tc>
        <w:tc>
          <w:tcPr>
            <w:vMerge w:val="continue"/>
          </w:tcPr>
          <w:p/>
        </w:tc>
      </w:tr>
    </w:tbl>
    <w:p>
      <w:pPr>
        <w:spacing w:before="80" w:beforeLines="0" w:after="0" w:afterLines="0"/>
      </w:pPr>
      <w:r>
        <w:rPr>
          <w:sz w:val="0"/>
        </w:rPr>
        <w:t>​</w:t>
      </w:r>
    </w:p>
    <w:tbl>
      <w:tblPr>
        <w:tblW w:w="5000" w:type="pct"/>
      </w:tblPr>
      <w:tr>
        <w:tc>
          <w:tcPr>
            <w:tcW w:type="dxa" w:w="2303"/>
          </w:tcPr>
          <w:p>
            <w:pPr>
              <w:spacing w:before="0" w:beforeLines="0" w:after="0" w:afterLines="0"/>
              <w:jc w:val="left"/>
              <w:textAlignment w:val="center"/>
            </w:pPr>
            <w:r>
              <w:drawing>
                <wp:inline distT="0" distR="0" distB="0" distL="0">
                  <wp:extent cx="302400" cy="302400"/>
                  <wp:docPr id="3" name="Drawing 3" descr="weinsberg-schlafplaetze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einsberg-schlafplaetze.png"/>
                          <pic:cNvPicPr>
                            <a:picLocks noChangeAspect="true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400" cy="30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color w:val="000000"/>
                <w:b w:val="off"/>
                <w:u w:val="none"/>
              </w:rPr>
              <w:t xml:space="preserve">  2 Slaapplaatsen</w:t>
            </w:r>
          </w:p>
        </w:tc>
        <w:tc>
          <w:tcPr>
            <w:tcW w:type="dxa" w:w="2976"/>
          </w:tcPr>
          <w:p>
            <w:pPr>
              <w:spacing w:before="0" w:beforeLines="0" w:after="0" w:afterLines="0"/>
              <w:jc w:val="center"/>
              <w:textAlignment w:val="center"/>
            </w:pPr>
            <w:r>
              <w:drawing>
                <wp:inline distT="0" distR="0" distB="0" distL="0">
                  <wp:extent cx="302400" cy="302400"/>
                  <wp:docPr id="4" name="Drawing 4" descr="weinsberg-gurtplaetze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weinsberg-gurtplaetze.png"/>
                          <pic:cNvPicPr>
                            <a:picLocks noChangeAspect="true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400" cy="30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color w:val="000000"/>
                <w:b w:val="off"/>
                <w:u w:val="none"/>
              </w:rPr>
              <w:t xml:space="preserve">  4 Zitplaatsen met gordels</w:t>
            </w:r>
          </w:p>
        </w:tc>
        <w:tc>
          <w:tcPr>
            <w:tcW w:type="dxa" w:w="2505"/>
          </w:tcPr>
          <w:p>
            <w:pPr>
              <w:spacing w:before="0" w:beforeLines="0" w:after="0" w:afterLines="0"/>
              <w:jc w:val="center"/>
              <w:textAlignment w:val="center"/>
            </w:pPr>
            <w:r>
              <w:drawing>
                <wp:inline distT="0" distR="0" distB="0" distL="0">
                  <wp:extent cx="302400" cy="302400"/>
                  <wp:docPr id="5" name="Drawing 5" descr="weinsberg-breite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weinsberg-breite.png"/>
                          <pic:cNvPicPr>
                            <a:picLocks noChangeAspect="true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400" cy="30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color w:val="000000"/>
                <w:b w:val="off"/>
                <w:u w:val="none"/>
              </w:rPr>
              <w:t xml:space="preserve">  minder dan 7 meter</w:t>
            </w:r>
          </w:p>
        </w:tc>
        <w:tc>
          <w:tcPr>
            <w:tcW w:type="dxa" w:w="2572"/>
          </w:tcPr>
          <w:p>
            <w:pPr>
              <w:spacing w:before="0" w:beforeLines="0" w:after="0" w:afterLines="0"/>
              <w:jc w:val="right"/>
              <w:textAlignment w:val="center"/>
            </w:pPr>
            <w:r>
              <w:drawing>
                <wp:inline distT="0" distR="0" distB="0" distL="0">
                  <wp:extent cx="302400" cy="302400"/>
                  <wp:docPr id="6" name="Drawing 6" descr="weinsberg-gewicht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weinsberg-gewicht.png"/>
                          <pic:cNvPicPr>
                            <a:picLocks noChangeAspect="true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400" cy="30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color w:val="000000"/>
                <w:b w:val="off"/>
                <w:u w:val="none"/>
              </w:rPr>
              <w:t xml:space="preserve">  minder dan 3.500 kg</w:t>
            </w:r>
          </w:p>
        </w:tc>
      </w:tr>
    </w:tbl>
    <w:p>
      <w:pPr>
        <w:spacing w:before="80" w:beforeLines="0" w:after="0" w:afterLines="0"/>
      </w:pPr>
      <w:r>
        <w:rPr>
          <w:sz w:val="0"/>
        </w:rPr>
        <w:t>​</w:t>
      </w:r>
    </w:p>
    <w:tbl>
      <w:tblPr>
        <w:tblW w:w="5000" w:type="pct"/>
        <w:tblLayout w:type="fixed"/>
        <w:tblCellMar/>
      </w:tblPr>
      <w:tr>
        <w:tc>
          <w:tcPr>
            <w:shd w:color="auto" w:val="clear" w:fill="64666B"/>
          </w:tcPr>
          <w:p>
            <w:pPr>
              <w:spacing w:beforeLines="2" w:afterLines="10"/>
              <w:ind w:left="50" w:right="50"/>
              <w:jc w:val="left"/>
            </w:pPr>
            <w:r>
              <w:rPr>
                <w:sz w:val="24"/>
                <w:b w:val="on"/>
                <w:color w:val="FFFFFF"/>
              </w:rPr>
              <w:t>Technische gegevens</w:t>
            </w:r>
          </w:p>
        </w:tc>
        <w:tc>
          <w:tcPr>
            <w:shd w:color="auto" w:val="clear" w:fill="64666B"/>
          </w:tcPr>
          <w:p>
            <w:pPr>
              <w:spacing w:beforeLines="2" w:afterLines="10"/>
              <w:ind w:left="50" w:right="50"/>
              <w:jc w:val="right"/>
            </w:pPr>
            <w:r>
              <w:rPr>
                <w:sz w:val="24"/>
                <w:b w:val="on"/>
                <w:color w:val="FFFFFF"/>
              </w:rPr>
              <w:t xsi:nil="true"/>
            </w:r>
          </w:p>
        </w:tc>
      </w:tr>
    </w:tbl>
    <w:tbl>
      <w:tblPr>
        <w:tblW w:w="0" w:type="auto"/>
      </w:tblPr>
      <w:tr>
        <w:tc>
          <w:tcPr>
            <w:tcW w:type="pct" w:w="250"/>
          </w:tcPr>
          <w:tbl>
            <w:tblPr>
              <w:tblW w:w="4950" w:type="pct"/>
              <w:jc w:val="start"/>
              <w:tblBorders>
                <w:top w:val="none" w:sz="1" w:space="0" w:color=""/>
                <w:left w:val="none" w:sz="1" w:space="0" w:color=""/>
                <w:bottom w:val="none" w:sz="1" w:space="0" w:color=""/>
                <w:right w:val="none" w:sz="1" w:space="0" w:color=""/>
                <w:insideH w:val="none" w:sz="1" w:space="0" w:color=""/>
                <w:insideV w:val="none" w:sz="1" w:space="0" w:color=""/>
              </w:tblBorders>
              <w:tblCellMar/>
            </w:tblPr>
            <w:tr>
              <w:trPr>
                <w:trHeight w:hRule="auto"/>
              </w:trPr>
              <w:tc>
                <w:tcPr>
                  <w:tcW w:w="1340" w:type="dxa"/>
                  <w:shd w:color="auto" w:val="clear" w:fill="F1F1F2"/>
                </w:tcPr>
                <w:p>
                  <w:pPr>
                    <w:spacing w:before="25" w:after="25" w:beforeLines="25"/>
                    <w:ind w:left="45" w:right="45"/>
                  </w:pPr>
                  <w:r>
                    <w:rPr>
                      <w:sz w:val="20"/>
                      <w:b w:val="on"/>
                      <w:color w:val="64666B"/>
                    </w:rPr>
                    <w:t>Afmetingen:</w:t>
                  </w:r>
                </w:p>
              </w:tc>
              <w:tc>
                <w:tcPr>
                  <w:tcW w:w="660" w:type="dxa"/>
                  <w:shd w:color="auto" w:val="clear" w:fill="F1F1F2"/>
                </w:tcPr>
                <w:p>
                  <w:pPr>
                    <w:spacing w:before="25" w:after="25" w:beforeLines="25"/>
                    <w:ind w:left="45" w:right="45"/>
                    <w:jc w:val="end"/>
                  </w:pPr>
                  <w:r>
                    <w:rPr>
                      <w:sz w:val="20"/>
                      <w:b w:val="on"/>
                      <w:color w:val="64666B"/>
                    </w:rPr>
                    <w:t/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34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Totale lengte (cm)</w:t>
                  </w:r>
                </w:p>
              </w:tc>
              <w:tc>
                <w:tcPr>
                  <w:tcW w:w="66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692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3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Breedte buiten/binnen (cm)</w:t>
                  </w:r>
                </w:p>
              </w:tc>
              <w:tc>
                <w:tcPr>
                  <w:tcW w:w="6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230 / 212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34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Hoogte buiten/binnen (cm)</w:t>
                  </w:r>
                </w:p>
              </w:tc>
              <w:tc>
                <w:tcPr>
                  <w:tcW w:w="66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286 / 200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3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Bedmaat</w:t>
                  </w:r>
                </w:p>
              </w:tc>
              <w:tc>
                <w:tcPr>
                  <w:tcW w:w="6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2 x 200 x 82 cm</w:t>
                  </w:r>
                </w:p>
              </w:tc>
            </w:tr>
          </w:tbl>
          <w:p/>
        </w:tc>
        <w:tc>
          <w:tcPr>
            <w:tcW w:type="pct" w:w="250"/>
          </w:tcPr>
          <w:tbl>
            <w:tblPr>
              <w:tblW w:w="4950" w:type="pct"/>
              <w:jc w:val="end"/>
              <w:tblBorders>
                <w:top w:val="none" w:sz="1" w:space="0" w:color=""/>
                <w:left w:val="none" w:sz="1" w:space="0" w:color=""/>
                <w:bottom w:val="none" w:sz="1" w:space="0" w:color=""/>
                <w:right w:val="none" w:sz="1" w:space="0" w:color=""/>
                <w:insideH w:val="none" w:sz="1" w:space="0" w:color=""/>
                <w:insideV w:val="none" w:sz="1" w:space="0" w:color=""/>
              </w:tblBorders>
              <w:tblCellMar/>
            </w:tblPr>
            <w:tr>
              <w:trPr>
                <w:trHeight w:hRule="auto"/>
              </w:trPr>
              <w:tc>
                <w:tcPr>
                  <w:tcW w:w="1340" w:type="dxa"/>
                  <w:shd w:color="auto" w:val="clear" w:fill="FFFFFF"/>
                </w:tcPr>
                <w:p>
                  <w:pPr>
                    <w:spacing w:before="25" w:after="25" w:beforeLines="25"/>
                    <w:ind w:left="45" w:right="45"/>
                  </w:pPr>
                  <w:r>
                    <w:rPr>
                      <w:sz w:val="20"/>
                      <w:b w:val="on"/>
                      <w:color w:val="64666B"/>
                    </w:rPr>
                    <w:t>Gewicht:</w:t>
                  </w:r>
                </w:p>
              </w:tc>
              <w:tc>
                <w:tcPr>
                  <w:tcW w:w="660" w:type="dxa"/>
                  <w:shd w:color="auto" w:val="clear" w:fill="FFFFFF"/>
                </w:tcPr>
                <w:p>
                  <w:pPr>
                    <w:spacing w:before="25" w:after="25" w:beforeLines="25"/>
                    <w:ind w:left="45" w:right="45"/>
                    <w:jc w:val="end"/>
                  </w:pPr>
                  <w:r>
                    <w:rPr>
                      <w:sz w:val="20"/>
                      <w:b w:val="on"/>
                      <w:color w:val="64666B"/>
                    </w:rPr>
                    <w:t/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3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Toegestane maximum massa (kg)</w:t>
                  </w:r>
                </w:p>
              </w:tc>
              <w:tc>
                <w:tcPr>
                  <w:tcW w:w="6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3.500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34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Rijklaar gewicht (kg)</w:t>
                  </w:r>
                </w:p>
              </w:tc>
              <w:tc>
                <w:tcPr>
                  <w:tcW w:w="66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2.825 (2.683 - 2.966)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3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Resterende massa van de optionele uitrusting (kg)</w:t>
                  </w:r>
                </w:p>
              </w:tc>
              <w:tc>
                <w:tcPr>
                  <w:tcW w:w="6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82</w:t>
                  </w:r>
                </w:p>
              </w:tc>
            </w:tr>
          </w:tbl>
          <w:p/>
        </w:tc>
      </w:tr>
    </w:tbl>
    <w:p>
      <w:pPr>
        <w:spacing w:before="80" w:beforeLines="0" w:after="0" w:afterLines="0"/>
      </w:pPr>
      <w:r>
        <w:rPr>
          <w:sz w:val="0"/>
        </w:rPr>
        <w:t>​</w:t>
      </w:r>
    </w:p>
    <w:tbl>
      <w:tblPr>
        <w:tblW w:w="5000" w:type="pct"/>
        <w:tblLayout w:type="fixed"/>
        <w:tblCellMar/>
      </w:tblPr>
      <w:tr>
        <w:tc>
          <w:tcPr>
            <w:shd w:color="auto" w:val="clear" w:fill="64666B"/>
          </w:tcPr>
          <w:p>
            <w:pPr>
              <w:spacing w:beforeLines="2" w:afterLines="10"/>
              <w:ind w:left="50" w:right="50"/>
              <w:jc w:val="left"/>
            </w:pPr>
            <w:r>
              <w:rPr>
                <w:sz w:val="24"/>
                <w:b w:val="on"/>
                <w:color w:val="FFFFFF"/>
              </w:rPr>
              <w:t>Speciale modeluitrusting</w:t>
            </w:r>
          </w:p>
        </w:tc>
        <w:tc>
          <w:tcPr>
            <w:shd w:color="auto" w:val="clear" w:fill="64666B"/>
          </w:tcPr>
          <w:p>
            <w:pPr>
              <w:spacing w:beforeLines="2" w:afterLines="10"/>
              <w:ind w:left="50" w:right="50"/>
              <w:jc w:val="right"/>
            </w:pPr>
            <w:r>
              <w:rPr>
                <w:sz w:val="24"/>
                <w:b w:val="on"/>
                <w:color w:val="FFFFFF"/>
              </w:rPr>
              <w:t>25.291 €</w:t>
            </w:r>
          </w:p>
        </w:tc>
      </w:tr>
    </w:tbl>
    <w:tbl>
      <w:tblPr>
        <w:tblW w:w="0" w:type="auto"/>
      </w:tblPr>
      <w:tr>
        <w:tc>
          <w:tcPr>
            <w:tcW w:type="pct" w:w="250"/>
          </w:tcPr>
          <w:tbl>
            <w:tblPr>
              <w:tblW w:w="4950" w:type="pct"/>
              <w:jc w:val="start"/>
              <w:tblBorders>
                <w:top w:val="none" w:sz="1" w:space="0" w:color=""/>
                <w:left w:val="none" w:sz="1" w:space="0" w:color=""/>
                <w:bottom w:val="none" w:sz="1" w:space="0" w:color=""/>
                <w:right w:val="none" w:sz="1" w:space="0" w:color=""/>
                <w:insideH w:val="none" w:sz="1" w:space="0" w:color=""/>
                <w:insideV w:val="none" w:sz="1" w:space="0" w:color=""/>
              </w:tblBorders>
              <w:tblCellMar/>
            </w:tblPr>
            <w:tr>
              <w:trPr>
                <w:trHeight w:hRule="auto"/>
              </w:trPr>
              <w:tc>
                <w:tcPr>
                  <w:tcW w:w="2000" w:type="dxa"/>
                  <w:shd w:color="auto" w:val="clear" w:fill="F1F1F2"/>
                </w:tcPr>
                <w:p>
                  <w:pPr>
                    <w:spacing w:before="25" w:after="25" w:beforeLines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Airconditioning cabine, halfautomatisch TEMPMATIC (HH9)</w:t>
                  </w:r>
                </w:p>
              </w:tc>
              <w:tc>
                <w:tcPr>
                  <w:tcW w:w="0" w:type="dxa"/>
                  <w:shd w:color="auto" w:val="clear" w:fill="F1F1F2"/>
                </w:tcPr>
                <w:p>
                  <w:pPr>
                    <w:spacing w:before="25" w:after="25" w:beforeLines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/>
                  </w:r>
                </w:p>
              </w:tc>
            </w:tr>
            <w:tr>
              <w:trPr>
                <w:trHeight w:hRule="auto"/>
              </w:trPr>
              <w:tc>
                <w:tcPr>
                  <w:tcW w:w="200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Compleet antennesysteem Oyster 80 premium twin</w:t>
                  </w:r>
                </w:p>
              </w:tc>
              <w:tc>
                <w:tcPr>
                  <w:tcW w:w="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/>
                  </w:r>
                </w:p>
              </w:tc>
            </w:tr>
            <w:tr>
              <w:trPr>
                <w:trHeight w:hRule="auto"/>
              </w:trPr>
              <w:tc>
                <w:tcPr>
                  <w:tcW w:w="200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Mediacenter met smartphone navigatiesysteem</w:t>
                  </w:r>
                </w:p>
              </w:tc>
              <w:tc>
                <w:tcPr>
                  <w:tcW w:w="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/>
                  </w:r>
                </w:p>
              </w:tc>
            </w:tr>
            <w:tr>
              <w:trPr>
                <w:trHeight w:hRule="auto"/>
              </w:trPr>
              <w:tc>
                <w:tcPr>
                  <w:tcW w:w="200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Lichtmetalen velgen voor standaard banden (RL5)</w:t>
                  </w:r>
                </w:p>
              </w:tc>
              <w:tc>
                <w:tcPr>
                  <w:tcW w:w="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/>
                  </w:r>
                </w:p>
              </w:tc>
            </w:tr>
            <w:tr>
              <w:trPr>
                <w:trHeight w:hRule="auto"/>
              </w:trPr>
              <w:tc>
                <w:tcPr>
                  <w:tcW w:w="200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Luifel 405 x 250 cm, wit</w:t>
                  </w:r>
                </w:p>
              </w:tc>
              <w:tc>
                <w:tcPr>
                  <w:tcW w:w="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/>
                  </w:r>
                </w:p>
              </w:tc>
            </w:tr>
            <w:tr>
              <w:trPr>
                <w:trHeight w:hRule="auto"/>
              </w:trPr>
              <w:tc>
                <w:tcPr>
                  <w:tcW w:w="200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Voor- en zijramen verduistering</w:t>
                  </w:r>
                </w:p>
              </w:tc>
              <w:tc>
                <w:tcPr>
                  <w:tcW w:w="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/>
                  </w:r>
                </w:p>
              </w:tc>
            </w:tr>
          </w:tbl>
          <w:p/>
        </w:tc>
        <w:tc>
          <w:tcPr>
            <w:tcW w:type="pct" w:w="250"/>
          </w:tcPr>
          <w:tbl>
            <w:tblPr>
              <w:tblW w:w="4950" w:type="pct"/>
              <w:jc w:val="end"/>
              <w:tblBorders>
                <w:top w:val="none" w:sz="1" w:space="0" w:color=""/>
                <w:left w:val="none" w:sz="1" w:space="0" w:color=""/>
                <w:bottom w:val="none" w:sz="1" w:space="0" w:color=""/>
                <w:right w:val="none" w:sz="1" w:space="0" w:color=""/>
                <w:insideH w:val="none" w:sz="1" w:space="0" w:color=""/>
                <w:insideV w:val="none" w:sz="1" w:space="0" w:color=""/>
              </w:tblBorders>
              <w:tblCellMar/>
            </w:tblPr>
            <w:tr>
              <w:trPr>
                <w:trHeight w:hRule="auto"/>
              </w:trPr>
              <w:tc>
                <w:tcPr>
                  <w:tcW w:w="2000" w:type="dxa"/>
                  <w:shd w:color="auto" w:val="clear" w:fill="F1F1F2"/>
                </w:tcPr>
                <w:p>
                  <w:pPr>
                    <w:spacing w:before="25" w:after="25" w:beforeLines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Voorbumper en aanbouwdelen gespoten in voertuigkleur (CM2)</w:t>
                  </w:r>
                </w:p>
              </w:tc>
              <w:tc>
                <w:tcPr>
                  <w:tcW w:w="0" w:type="dxa"/>
                  <w:shd w:color="auto" w:val="clear" w:fill="F1F1F2"/>
                </w:tcPr>
                <w:p>
                  <w:pPr>
                    <w:spacing w:before="25" w:after="25" w:beforeLines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/>
                  </w:r>
                </w:p>
              </w:tc>
            </w:tr>
            <w:tr>
              <w:trPr>
                <w:trHeight w:hRule="auto"/>
              </w:trPr>
              <w:tc>
                <w:tcPr>
                  <w:tcW w:w="200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24" SMART TV met HD-tuner</w:t>
                  </w:r>
                </w:p>
              </w:tc>
              <w:tc>
                <w:tcPr>
                  <w:tcW w:w="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/>
                  </w:r>
                </w:p>
              </w:tc>
            </w:tr>
            <w:tr>
              <w:trPr>
                <w:trHeight w:hRule="auto"/>
              </w:trPr>
              <w:tc>
                <w:tcPr>
                  <w:tcW w:w="200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TRUMA iNetX MASTER</w:t>
                  </w:r>
                </w:p>
              </w:tc>
              <w:tc>
                <w:tcPr>
                  <w:tcW w:w="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/>
                  </w:r>
                </w:p>
              </w:tc>
            </w:tr>
            <w:tr>
              <w:trPr>
                <w:trHeight w:hRule="auto"/>
              </w:trPr>
              <w:tc>
                <w:tcPr>
                  <w:tcW w:w="200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Achteruitrijcamera incl. bekabeling</w:t>
                  </w:r>
                </w:p>
              </w:tc>
              <w:tc>
                <w:tcPr>
                  <w:tcW w:w="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/>
                  </w:r>
                </w:p>
              </w:tc>
            </w:tr>
            <w:tr>
              <w:trPr>
                <w:trHeight w:hRule="auto"/>
              </w:trPr>
              <w:tc>
                <w:tcPr>
                  <w:tcW w:w="200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Openslaand dakraam in de cabinekap met insectenhor en verduistering, voorin</w:t>
                  </w:r>
                </w:p>
              </w:tc>
              <w:tc>
                <w:tcPr>
                  <w:tcW w:w="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/>
                  </w:r>
                </w:p>
              </w:tc>
            </w:tr>
            <w:tr>
              <w:trPr>
                <w:trHeight w:hRule="auto"/>
              </w:trPr>
              <w:tc>
                <w:tcPr>
                  <w:tcW w:w="200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Cabinestoelen draaibaar</w:t>
                  </w:r>
                </w:p>
              </w:tc>
              <w:tc>
                <w:tcPr>
                  <w:tcW w:w="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/>
                  </w:r>
                </w:p>
              </w:tc>
            </w:tr>
          </w:tbl>
          <w:p/>
        </w:tc>
      </w:tr>
    </w:tbl>
    <w:p>
      <w:pPr>
        <w:spacing w:before="10" w:beforeLines="0" w:after="0" w:afterLines="0"/>
      </w:pPr>
      <w:r>
        <w:rPr>
          <w:sz w:val="0"/>
        </w:rPr>
        <w:t>​</w:t>
      </w:r>
    </w:p>
    <w:p>
      <w:pPr>
        <w:spacing w:line="240" w:lineRule="auto"/>
        <w:ind w:left="55"/>
      </w:pPr>
      <w:r>
        <w:rPr>
          <w:color w:val="64666B"/>
          <w:sz w:val="20"/>
        </w:rPr>
        <w:t>Beduitbreiding voor groter ligoppervlak • Cruise control (MS1) • Dakraam (hef-kiep) 70 x 50 cm met insectenhor en verduistering, (voor) • Verwarmde en elektrisch verstelbare buitenspiegels (F68) • Garagedeur 80 x 115 cm, links • Armleuningen aan beide zijden van bestuurders- en passagiersstoel (S36+S38) • All-season banden camper (RC3) • Hordeur • Radio voorbereiding incl. 2 luidsprekers (ER0) • Waterfiltersysteem "bluuwater" • TV-houder • Ambiënteverlichting (LED-lichtband bij opbergkast voorin, opbergkast achterin, opbergkast keuken)...</w:t>
      </w:r>
    </w:p>
    <w:p>
      <w:pPr>
        <w:spacing w:before="80" w:beforeLines="0" w:after="0" w:afterLines="0"/>
      </w:pPr>
      <w:r>
        <w:rPr>
          <w:sz w:val="0"/>
        </w:rPr>
        <w:t>​</w:t>
      </w:r>
    </w:p>
    <w:tbl>
      <w:tblPr>
        <w:tblW w:w="5000" w:type="pct"/>
        <w:tblLayout w:type="fixed"/>
        <w:tblCellMar/>
      </w:tblPr>
      <w:tr>
        <w:tc>
          <w:tcPr>
            <w:shd w:color="auto" w:val="clear" w:fill="64666B"/>
          </w:tcPr>
          <w:p>
            <w:pPr>
              <w:spacing w:beforeLines="2" w:afterLines="10"/>
              <w:ind w:left="50" w:right="50"/>
              <w:jc w:val="left"/>
            </w:pPr>
            <w:r>
              <w:rPr>
                <w:sz w:val="24"/>
                <w:b w:val="on"/>
                <w:color w:val="FFFFFF"/>
              </w:rPr>
              <w:t>Speciale uitrusting</w:t>
            </w:r>
          </w:p>
        </w:tc>
        <w:tc>
          <w:tcPr>
            <w:shd w:color="auto" w:val="clear" w:fill="64666B"/>
          </w:tcPr>
          <w:p>
            <w:pPr>
              <w:spacing w:beforeLines="2" w:afterLines="10"/>
              <w:ind w:left="50" w:right="50"/>
              <w:jc w:val="right"/>
            </w:pPr>
            <w:r>
              <w:rPr>
                <w:sz w:val="24"/>
                <w:b w:val="on"/>
                <w:color w:val="FFFFFF"/>
              </w:rPr>
              <w:t>22.194 €</w:t>
            </w:r>
          </w:p>
        </w:tc>
      </w:tr>
    </w:tbl>
    <w:tbl>
      <w:tblPr>
        <w:tblW w:w="0" w:type="auto"/>
      </w:tblPr>
      <w:tr>
        <w:tc>
          <w:tcPr>
            <w:tcW w:type="pct" w:w="250"/>
          </w:tcPr>
          <w:tbl>
            <w:tblPr>
              <w:tblW w:w="4950" w:type="pct"/>
              <w:jc w:val="start"/>
              <w:tblBorders>
                <w:top w:val="none" w:sz="1" w:space="0" w:color=""/>
                <w:left w:val="none" w:sz="1" w:space="0" w:color=""/>
                <w:bottom w:val="none" w:sz="1" w:space="0" w:color=""/>
                <w:right w:val="none" w:sz="1" w:space="0" w:color=""/>
                <w:insideH w:val="none" w:sz="1" w:space="0" w:color=""/>
                <w:insideV w:val="none" w:sz="1" w:space="0" w:color=""/>
              </w:tblBorders>
              <w:tblCellMar/>
            </w:tblPr>
            <w:tr>
              <w:trPr>
                <w:trHeight w:hRule="auto"/>
              </w:trPr>
              <w:tc>
                <w:tcPr>
                  <w:tcW w:w="1440" w:type="dxa"/>
                  <w:shd w:color="auto" w:val="clear" w:fill="F1F1F2"/>
                </w:tcPr>
                <w:p>
                  <w:pPr>
                    <w:spacing w:before="25" w:after="25" w:beforeLines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3.500 kg*** Mercedes Sprinter (317CDI), 125 kW / 170 pk (MU5), TDI, EuroVI, voorwielaandrijving, automatische versnelling</w:t>
                  </w:r>
                </w:p>
              </w:tc>
              <w:tc>
                <w:tcPr>
                  <w:tcW w:w="560" w:type="dxa"/>
                  <w:shd w:color="auto" w:val="clear" w:fill="F1F1F2"/>
                </w:tcPr>
                <w:p>
                  <w:pPr>
                    <w:spacing w:before="25" w:after="25" w:beforeLines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5.301 €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Hot [PEPPER] Pakket MERCEDES [PEPPER]</w:t>
                  </w:r>
                </w:p>
              </w:tc>
              <w:tc>
                <w:tcPr>
                  <w:tcW w:w="56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5.264 €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Licht &amp; zichtpakket [PEPPER]</w:t>
                  </w:r>
                </w:p>
              </w:tc>
              <w:tc>
                <w:tcPr>
                  <w:tcW w:w="5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3.374 €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Lithium (LiFePO4) boordaccu (in plaats van standaardaccu)</w:t>
                  </w:r>
                </w:p>
              </w:tc>
              <w:tc>
                <w:tcPr>
                  <w:tcW w:w="56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1.321 €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Opbouwdeur: WEINSBERG EXKLUSIV: met raam en geïntegreerde coming home verlichting, meervoudige vergrendeling, verdekte scharnieren, openingsbegrenzing / deurvergrendeling door middel van gasveer, dubbele afdichting, hoogwaardige lederen accenten, elektrische centrale vergrendeling, geïntegreerd parapluvak, multifunctionele tas</w:t>
                  </w:r>
                </w:p>
              </w:tc>
              <w:tc>
                <w:tcPr>
                  <w:tcW w:w="5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1.068 €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Ingelegde ramen SEITZ S7</w:t>
                  </w:r>
                </w:p>
              </w:tc>
              <w:tc>
                <w:tcPr>
                  <w:tcW w:w="56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978 €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Elektrische vloer bijverwarming</w:t>
                  </w:r>
                </w:p>
              </w:tc>
              <w:tc>
                <w:tcPr>
                  <w:tcW w:w="5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860 €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Kachel TRUMA Combi E</w:t>
                  </w:r>
                </w:p>
              </w:tc>
              <w:tc>
                <w:tcPr>
                  <w:tcW w:w="56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859 €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Electrisch bedienbare opstap</w:t>
                  </w:r>
                </w:p>
              </w:tc>
              <w:tc>
                <w:tcPr>
                  <w:tcW w:w="5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628 €</w:t>
                  </w:r>
                </w:p>
              </w:tc>
            </w:tr>
          </w:tbl>
          <w:p/>
        </w:tc>
        <w:tc>
          <w:tcPr>
            <w:tcW w:type="pct" w:w="250"/>
          </w:tcPr>
          <w:tbl>
            <w:tblPr>
              <w:tblW w:w="4950" w:type="pct"/>
              <w:jc w:val="end"/>
              <w:tblBorders>
                <w:top w:val="none" w:sz="1" w:space="0" w:color=""/>
                <w:left w:val="none" w:sz="1" w:space="0" w:color=""/>
                <w:bottom w:val="none" w:sz="1" w:space="0" w:color=""/>
                <w:right w:val="none" w:sz="1" w:space="0" w:color=""/>
                <w:insideH w:val="none" w:sz="1" w:space="0" w:color=""/>
                <w:insideV w:val="none" w:sz="1" w:space="0" w:color=""/>
              </w:tblBorders>
              <w:tblCellMar/>
            </w:tblPr>
            <w:tr>
              <w:trPr>
                <w:trHeight w:hRule="auto"/>
              </w:trPr>
              <w:tc>
                <w:tcPr>
                  <w:tcW w:w="1440" w:type="dxa"/>
                  <w:shd w:color="auto" w:val="clear" w:fill="F1F1F2"/>
                </w:tcPr>
                <w:p>
                  <w:pPr>
                    <w:spacing w:before="25" w:after="25" w:beforeLines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TRUMA DuoControl CS incl. gasfilter</w:t>
                  </w:r>
                </w:p>
              </w:tc>
              <w:tc>
                <w:tcPr>
                  <w:tcW w:w="560" w:type="dxa"/>
                  <w:shd w:color="auto" w:val="clear" w:fill="F1F1F2"/>
                </w:tcPr>
                <w:p>
                  <w:pPr>
                    <w:spacing w:before="25" w:after="25" w:beforeLines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521 €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EvoPore HRC matras incl. WaterGEL toplaag, alleen vaste bedden</w:t>
                  </w:r>
                </w:p>
              </w:tc>
              <w:tc>
                <w:tcPr>
                  <w:tcW w:w="56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500 €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Uitdraaisteunen achter</w:t>
                  </w:r>
                </w:p>
              </w:tc>
              <w:tc>
                <w:tcPr>
                  <w:tcW w:w="5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415 €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THULE garagesysteem 1: 2 stuks multifunctionele houders voor aan de achterwand incl. vuilafstotend rubber; 2 stuks spanbanden incl. ratelaar en 6 stuks sjorogen in de geleiders vrij positioneerbaar, incl. bagagenet, m.b.v. orginele THULE hulpstukken.</w:t>
                  </w:r>
                </w:p>
              </w:tc>
              <w:tc>
                <w:tcPr>
                  <w:tcW w:w="56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348 €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Openslaand raam 70 x 40 cm, (achter links)</w:t>
                  </w:r>
                </w:p>
              </w:tc>
              <w:tc>
                <w:tcPr>
                  <w:tcW w:w="5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348 €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Gas buitenaansluiting</w:t>
                  </w:r>
                </w:p>
              </w:tc>
              <w:tc>
                <w:tcPr>
                  <w:tcW w:w="56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273 €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Voetmatten set in de cabine in WEINSBERG design</w:t>
                  </w:r>
                </w:p>
              </w:tc>
              <w:tc>
                <w:tcPr>
                  <w:tcW w:w="5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99 €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Rookmelder</w:t>
                  </w:r>
                </w:p>
              </w:tc>
              <w:tc>
                <w:tcPr>
                  <w:tcW w:w="56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37 €</w:t>
                  </w:r>
                </w:p>
              </w:tc>
            </w:tr>
          </w:tbl>
          <w:p/>
        </w:tc>
      </w:tr>
    </w:tbl>
    <w:p>
      <w:pPr>
        <w:spacing w:before="80" w:beforeLines="0" w:after="0" w:afterLines="0"/>
      </w:pPr>
      <w:r>
        <w:rPr>
          <w:sz w:val="0"/>
        </w:rPr>
        <w:t>​</w:t>
      </w:r>
    </w:p>
    <w:p>
      <w:pPr>
        <w:spacing w:before="80" w:beforeLines="0" w:after="0" w:afterLines="0"/>
      </w:pPr>
      <w:r>
        <w:rPr>
          <w:sz w:val="0"/>
        </w:rPr>
        <w:t>​</w:t>
      </w:r>
    </w:p>
    <w:p>
      <w:pPr>
        <w:pageBreakBefore w:val="on"/>
      </w:pPr>
    </w:p>
    <w:p>
      <w:r>
        <w:drawing>
          <wp:anchor xmlns:wp14="http://schemas.microsoft.com/office/word/2010/wordprocessingDrawing" distT="0" distB="0" distL="114300" distR="114300" simplePos="0" relativeHeight="251658240" behindDoc="1" locked="0" layoutInCell="1" allowOverlap="1" wp14:anchorId="16D108A6" wp14:editId="351B374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10692000"/>
            <wp:effectExtent l="0" t="0" r="0" b="0"/>
            <wp:wrapNone/>
            <wp:docPr id="1" name="Graf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106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spacing w:afterLines="75"/>
      </w:pPr>
      <w:r>
        <w:rPr>
          <w:sz w:val="20"/>
          <w:b w:val="on"/>
        </w:rPr>
        <w:t>EU-bandenlabel:</w:t>
      </w:r>
    </w:p>
    <w:tbl>
      <w:tblPr>
        <w:tblW w:w="5000" w:type="pct"/>
      </w:tblPr>
      <w:tr>
        <w:tc>
          <w:tcPr>
            <w:tcW w:type="dxa" w:w="1048"/>
            <w:shd w:color="auto" w:val="clear" w:fill=""/>
          </w:tcPr>
          <w:p/>
        </w:tc>
        <w:tc>
          <w:tcPr>
            <w:tcW w:type="dxa" w:w="2933"/>
            <w:shd w:color="auto" w:val="clear" w:fill=""/>
          </w:tcPr>
          <w:p>
            <w:pPr>
              <w:spacing w:after="0" w:afterLines="0"/>
            </w:pPr>
            <w:r>
              <w:rPr>
                <w:sz w:val="20"/>
                <w:b w:val="on"/>
              </w:rPr>
              <w:t>243662 - 16" banden (RG8)</w:t>
            </w:r>
          </w:p>
        </w:tc>
        <w:tc>
          <w:tcPr>
            <w:tcW w:type="dxa" w:w="1048"/>
            <w:shd w:color="auto" w:val="clear" w:fill=""/>
          </w:tcPr>
          <w:tcPr>
            <w:tcBorders>
              <w:right w:val="single" w:color="cccccc"/>
            </w:tcBorders>
          </w:tcPr>
          <w:p/>
        </w:tc>
        <w:tc>
          <w:tcPr>
            <w:tcW w:type="dxa" w:w="1048"/>
            <w:shd w:color="auto" w:val="clear" w:fill=""/>
          </w:tcPr>
          <w:p/>
        </w:tc>
        <w:tc>
          <w:tcPr>
            <w:tcW w:type="dxa" w:w="2933"/>
            <w:shd w:color="auto" w:val="clear" w:fill=""/>
          </w:tcPr>
          <w:p>
            <w:pPr>
              <w:spacing w:after="0" w:afterLines="0"/>
            </w:pPr>
            <w:r>
              <w:rPr>
                <w:sz w:val="20"/>
                <w:b w:val="on"/>
              </w:rPr>
              <w:t>243662 - 16" banden (RG8)</w:t>
            </w:r>
          </w:p>
        </w:tc>
        <w:tc>
          <w:tcPr>
            <w:tcW w:type="dxa" w:w="1048"/>
            <w:shd w:color="auto" w:val="clear" w:fill=""/>
          </w:tcPr>
          <w:p/>
        </w:tc>
      </w:tr>
      <w:tr>
        <w:tc>
          <w:tcPr>
            <w:tcW w:type="dxa" w:w="1048"/>
            <w:shd w:color="auto" w:val="clear" w:fill=""/>
          </w:tcPr>
          <w:p/>
        </w:tc>
        <w:tc>
          <w:tcPr>
            <w:tcW w:type="dxa" w:w="2933"/>
            <w:shd w:color="auto" w:val="clear" w:fill=""/>
          </w:tcPr>
          <w:p>
            <w:pPr>
              <w:spacing w:after="0" w:afterLines="0"/>
            </w:pPr>
            <w:r>
              <w:drawing>
                <wp:inline distT="0" distR="0" distB="0" distL="0">
                  <wp:extent cx="1828800" cy="3073400"/>
                  <wp:docPr id="7" name="Drawing 7" descr="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"/>
                          <pic:cNvPicPr>
                            <a:picLocks noChangeAspect="true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307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048"/>
            <w:shd w:color="auto" w:val="clear" w:fill=""/>
          </w:tcPr>
          <w:tcPr>
            <w:tcBorders>
              <w:right w:val="single" w:color="cccccc"/>
            </w:tcBorders>
          </w:tcPr>
          <w:p/>
        </w:tc>
        <w:tc>
          <w:tcPr>
            <w:tcW w:type="dxa" w:w="1048"/>
            <w:shd w:color="auto" w:val="clear" w:fill=""/>
          </w:tcPr>
          <w:p/>
        </w:tc>
        <w:tc>
          <w:tcPr>
            <w:tcW w:type="dxa" w:w="2933"/>
            <w:shd w:color="auto" w:val="clear" w:fill=""/>
          </w:tcPr>
          <w:p>
            <w:pPr>
              <w:spacing w:after="0" w:afterLines="0"/>
            </w:pPr>
            <w:r>
              <w:drawing>
                <wp:inline distT="0" distR="0" distB="0" distL="0">
                  <wp:extent cx="1828800" cy="3073400"/>
                  <wp:docPr id="8" name="Drawing 8" descr="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"/>
                          <pic:cNvPicPr>
                            <a:picLocks noChangeAspect="true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307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048"/>
            <w:shd w:color="auto" w:val="clear" w:fill=""/>
          </w:tcPr>
          <w:p/>
        </w:tc>
      </w:tr>
      <w:tr>
        <w:tc>
          <w:tcPr>
            <w:tcW w:type="dxa" w:w="1048"/>
            <w:shd w:color="auto" w:val="clear" w:fill=""/>
          </w:tcPr>
          <w:p/>
        </w:tc>
        <w:tc>
          <w:tcPr>
            <w:tcW w:type="dxa" w:w="2933"/>
            <w:shd w:color="auto" w:val="clear" w:fill=""/>
          </w:tcPr>
          <w:p>
            <w:hyperlink r:id="rId13">
              <w:r>
                <w:rPr>
                  <w:sz w:val="20"/>
                  <w:b w:val="off"/>
                </w:rPr>
                <w:t>.</w:t>
              </w:r>
            </w:hyperlink>
          </w:p>
        </w:tc>
        <w:tc>
          <w:tcPr>
            <w:tcW w:type="dxa" w:w="1048"/>
            <w:shd w:color="auto" w:val="clear" w:fill=""/>
          </w:tcPr>
          <w:tcPr>
            <w:tcBorders>
              <w:right w:val="single" w:color="cccccc"/>
            </w:tcBorders>
          </w:tcPr>
          <w:p/>
        </w:tc>
        <w:tc>
          <w:tcPr>
            <w:tcW w:type="dxa" w:w="1048"/>
            <w:shd w:color="auto" w:val="clear" w:fill=""/>
          </w:tcPr>
          <w:p/>
        </w:tc>
        <w:tc>
          <w:tcPr>
            <w:tcW w:type="dxa" w:w="2933"/>
            <w:shd w:color="auto" w:val="clear" w:fill=""/>
          </w:tcPr>
          <w:p>
            <w:hyperlink r:id="rId15">
              <w:r>
                <w:rPr>
                  <w:sz w:val="20"/>
                  <w:b w:val="off"/>
                </w:rPr>
                <w:t>.</w:t>
              </w:r>
            </w:hyperlink>
          </w:p>
        </w:tc>
        <w:tc>
          <w:tcPr>
            <w:tcW w:type="dxa" w:w="1048"/>
            <w:shd w:color="auto" w:val="clear" w:fill=""/>
          </w:tcPr>
          <w:p/>
        </w:tc>
      </w:tr>
      <w:tr>
        <w:tc>
          <w:tcPr>
            <w:tcW w:type="dxa" w:w="1048"/>
            <w:shd w:color="auto" w:val="clear" w:fill=""/>
          </w:tcPr>
          <w:tcPr>
            <w:tcBorders>
              <w:top w:val="single" w:color="cccccc"/>
            </w:tcBorders>
          </w:tcPr>
          <w:p/>
        </w:tc>
        <w:tc>
          <w:tcPr>
            <w:tcW w:type="dxa" w:w="2933"/>
            <w:shd w:color="auto" w:val="clear" w:fill=""/>
          </w:tcPr>
          <w:tcPr>
            <w:tcBorders>
              <w:top w:val="single" w:color="cccccc"/>
            </w:tcBorders>
          </w:tcPr>
          <w:p>
            <w:pPr>
              <w:spacing w:after="0" w:afterLines="0"/>
            </w:pPr>
            <w:r>
              <w:rPr>
                <w:sz w:val="20"/>
                <w:b w:val="on"/>
              </w:rPr>
              <w:t>243662 - 16" banden (RG8)</w:t>
            </w:r>
          </w:p>
        </w:tc>
        <w:tc>
          <w:tcPr>
            <w:tcW w:type="dxa" w:w="1048"/>
            <w:shd w:color="auto" w:val="clear" w:fill=""/>
          </w:tcPr>
          <w:tcPr>
            <w:tcBorders>
              <w:right w:val="single" w:color="cccccc"/>
            </w:tcBorders>
          </w:tcPr>
          <w:tcPr>
            <w:tcBorders>
              <w:top w:val="single" w:color="cccccc"/>
            </w:tcBorders>
          </w:tcPr>
          <w:p/>
        </w:tc>
        <w:tc>
          <w:tcPr>
            <w:tcW w:type="dxa" w:w="1048"/>
            <w:shd w:color="auto" w:val="clear" w:fill=""/>
          </w:tcPr>
          <w:tcPr>
            <w:tcBorders>
              <w:top w:val="single" w:color="cccccc"/>
            </w:tcBorders>
          </w:tcPr>
          <w:p/>
        </w:tc>
        <w:tc>
          <w:tcPr>
            <w:tcW w:type="dxa" w:w="2933"/>
            <w:shd w:color="auto" w:val="clear" w:fill=""/>
          </w:tcPr>
          <w:tcPr>
            <w:tcBorders>
              <w:top w:val="single" w:color="cccccc"/>
            </w:tcBorders>
          </w:tcPr>
          <w:p>
            <w:pPr>
              <w:spacing w:after="0" w:afterLines="0"/>
            </w:pPr>
            <w:r>
              <w:rPr>
                <w:sz w:val="20"/>
                <w:b w:val="on"/>
              </w:rPr>
              <w:t>243665 - All-season banden camper (RC3)</w:t>
            </w:r>
          </w:p>
        </w:tc>
        <w:tc>
          <w:tcPr>
            <w:tcW w:type="dxa" w:w="1048"/>
            <w:shd w:color="auto" w:val="clear" w:fill=""/>
          </w:tcPr>
          <w:tcPr>
            <w:tcBorders>
              <w:top w:val="single" w:color="cccccc"/>
            </w:tcBorders>
          </w:tcPr>
          <w:p/>
        </w:tc>
      </w:tr>
      <w:tr>
        <w:tc>
          <w:tcPr>
            <w:tcW w:type="dxa" w:w="1048"/>
            <w:shd w:color="auto" w:val="clear" w:fill=""/>
          </w:tcPr>
          <w:p/>
        </w:tc>
        <w:tc>
          <w:tcPr>
            <w:tcW w:type="dxa" w:w="2933"/>
            <w:shd w:color="auto" w:val="clear" w:fill=""/>
          </w:tcPr>
          <w:p>
            <w:pPr>
              <w:spacing w:after="0" w:afterLines="0"/>
            </w:pPr>
            <w:r>
              <w:drawing>
                <wp:inline distT="0" distR="0" distB="0" distL="0">
                  <wp:extent cx="1828800" cy="3073400"/>
                  <wp:docPr id="9" name="Drawing 9" descr="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"/>
                          <pic:cNvPicPr>
                            <a:picLocks noChangeAspect="true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307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048"/>
            <w:shd w:color="auto" w:val="clear" w:fill=""/>
          </w:tcPr>
          <w:tcPr>
            <w:tcBorders>
              <w:right w:val="single" w:color="cccccc"/>
            </w:tcBorders>
          </w:tcPr>
          <w:p/>
        </w:tc>
        <w:tc>
          <w:tcPr>
            <w:tcW w:type="dxa" w:w="1048"/>
            <w:shd w:color="auto" w:val="clear" w:fill=""/>
          </w:tcPr>
          <w:p/>
        </w:tc>
        <w:tc>
          <w:tcPr>
            <w:tcW w:type="dxa" w:w="2933"/>
            <w:shd w:color="auto" w:val="clear" w:fill=""/>
          </w:tcPr>
          <w:p>
            <w:pPr>
              <w:spacing w:after="0" w:afterLines="0"/>
            </w:pPr>
            <w:r>
              <w:drawing>
                <wp:inline distT="0" distR="0" distB="0" distL="0">
                  <wp:extent cx="1828800" cy="3073400"/>
                  <wp:docPr id="10" name="Drawing 10" descr="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"/>
                          <pic:cNvPicPr>
                            <a:picLocks noChangeAspect="true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307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048"/>
            <w:shd w:color="auto" w:val="clear" w:fill=""/>
          </w:tcPr>
          <w:p/>
        </w:tc>
      </w:tr>
      <w:tr>
        <w:tc>
          <w:tcPr>
            <w:tcW w:type="dxa" w:w="1048"/>
            <w:shd w:color="auto" w:val="clear" w:fill=""/>
          </w:tcPr>
          <w:p/>
        </w:tc>
        <w:tc>
          <w:tcPr>
            <w:tcW w:type="dxa" w:w="2933"/>
            <w:shd w:color="auto" w:val="clear" w:fill=""/>
          </w:tcPr>
          <w:p>
            <w:hyperlink r:id="rId17">
              <w:r>
                <w:rPr>
                  <w:sz w:val="20"/>
                  <w:b w:val="off"/>
                </w:rPr>
                <w:t>.</w:t>
              </w:r>
            </w:hyperlink>
          </w:p>
        </w:tc>
        <w:tc>
          <w:tcPr>
            <w:tcW w:type="dxa" w:w="1048"/>
            <w:shd w:color="auto" w:val="clear" w:fill=""/>
          </w:tcPr>
          <w:tcPr>
            <w:tcBorders>
              <w:right w:val="single" w:color="cccccc"/>
            </w:tcBorders>
          </w:tcPr>
          <w:p/>
        </w:tc>
        <w:tc>
          <w:tcPr>
            <w:tcW w:type="dxa" w:w="1048"/>
            <w:shd w:color="auto" w:val="clear" w:fill=""/>
          </w:tcPr>
          <w:p/>
        </w:tc>
        <w:tc>
          <w:tcPr>
            <w:tcW w:type="dxa" w:w="2933"/>
            <w:shd w:color="auto" w:val="clear" w:fill=""/>
          </w:tcPr>
          <w:p>
            <w:hyperlink r:id="rId19">
              <w:r>
                <w:rPr>
                  <w:sz w:val="20"/>
                  <w:b w:val="off"/>
                </w:rPr>
                <w:t>.</w:t>
              </w:r>
            </w:hyperlink>
          </w:p>
        </w:tc>
        <w:tc>
          <w:tcPr>
            <w:tcW w:type="dxa" w:w="1048"/>
            <w:shd w:color="auto" w:val="clear" w:fill=""/>
          </w:tcPr>
          <w:p/>
        </w:tc>
      </w:tr>
      <w:tr>
        <w:tc>
          <w:tcPr>
            <w:tcW w:type="dxa" w:w="1048"/>
            <w:shd w:color="auto" w:val="clear" w:fill=""/>
          </w:tcPr>
          <w:p/>
        </w:tc>
        <w:tc>
          <w:tcPr>
            <w:tcW w:type="dxa" w:w="2933"/>
            <w:shd w:color="auto" w:val="clear" w:fill=""/>
          </w:tcPr>
          <w:p/>
        </w:tc>
        <w:tc>
          <w:tcPr>
            <w:tcW w:type="dxa" w:w="1048"/>
            <w:shd w:color="auto" w:val="clear" w:fill=""/>
          </w:tcPr>
          <w:p/>
        </w:tc>
        <w:tc>
          <w:tcPr>
            <w:tcW w:type="dxa" w:w="1048"/>
            <w:shd w:color="auto" w:val="clear" w:fill=""/>
          </w:tcPr>
          <w:p/>
        </w:tc>
        <w:tc>
          <w:tcPr>
            <w:tcW w:type="dxa" w:w="2933"/>
            <w:shd w:color="auto" w:val="clear" w:fill=""/>
          </w:tcPr>
          <w:p/>
        </w:tc>
        <w:tc>
          <w:tcPr>
            <w:tcW w:type="dxa" w:w="1048"/>
            <w:shd w:color="auto" w:val="clear" w:fill=""/>
          </w:tcPr>
          <w:p/>
        </w:tc>
      </w:tr>
      <w:tr>
        <w:tc>
          <w:tcPr>
            <w:tcW w:type="dxa" w:w="1048"/>
            <w:shd w:color="auto" w:val="clear" w:fill=""/>
          </w:tcPr>
          <w:p/>
        </w:tc>
        <w:tc>
          <w:tcPr>
            <w:tcW w:type="dxa" w:w="2933"/>
            <w:shd w:color="auto" w:val="clear" w:fill=""/>
          </w:tcPr>
          <w:p/>
        </w:tc>
        <w:tc>
          <w:tcPr>
            <w:tcW w:type="dxa" w:w="1048"/>
            <w:shd w:color="auto" w:val="clear" w:fill=""/>
          </w:tcPr>
          <w:p/>
        </w:tc>
        <w:tc>
          <w:tcPr>
            <w:tcW w:type="dxa" w:w="1048"/>
            <w:shd w:color="auto" w:val="clear" w:fill=""/>
          </w:tcPr>
          <w:p/>
        </w:tc>
        <w:tc>
          <w:tcPr>
            <w:tcW w:type="dxa" w:w="2933"/>
            <w:shd w:color="auto" w:val="clear" w:fill=""/>
          </w:tcPr>
          <w:p/>
        </w:tc>
        <w:tc>
          <w:tcPr>
            <w:tcW w:type="dxa" w:w="1048"/>
            <w:shd w:color="auto" w:val="clear" w:fill=""/>
          </w:tcPr>
          <w:p/>
        </w:tc>
      </w:tr>
      <w:tr>
        <w:tc>
          <w:tcPr>
            <w:tcW w:type="dxa" w:w="1048"/>
            <w:shd w:color="auto" w:val="clear" w:fill=""/>
          </w:tcPr>
          <w:p/>
        </w:tc>
        <w:tc>
          <w:tcPr>
            <w:tcW w:type="dxa" w:w="2933"/>
            <w:shd w:color="auto" w:val="clear" w:fill=""/>
          </w:tcPr>
          <w:p/>
        </w:tc>
        <w:tc>
          <w:tcPr>
            <w:tcW w:type="dxa" w:w="1048"/>
            <w:shd w:color="auto" w:val="clear" w:fill=""/>
          </w:tcPr>
          <w:p/>
        </w:tc>
        <w:tc>
          <w:tcPr>
            <w:tcW w:type="dxa" w:w="1048"/>
            <w:shd w:color="auto" w:val="clear" w:fill=""/>
          </w:tcPr>
          <w:p/>
        </w:tc>
        <w:tc>
          <w:tcPr>
            <w:tcW w:type="dxa" w:w="2933"/>
            <w:shd w:color="auto" w:val="clear" w:fill=""/>
          </w:tcPr>
          <w:p/>
        </w:tc>
        <w:tc>
          <w:tcPr>
            <w:tcW w:type="dxa" w:w="1048"/>
            <w:shd w:color="auto" w:val="clear" w:fill=""/>
          </w:tcPr>
          <w:p/>
        </w:tc>
      </w:tr>
      <w:tr>
        <w:tc>
          <w:tcPr>
            <w:tcW w:type="dxa" w:w="1048"/>
            <w:shd w:color="auto" w:val="clear" w:fill=""/>
          </w:tcPr>
          <w:p/>
        </w:tc>
        <w:tc>
          <w:tcPr>
            <w:tcW w:type="dxa" w:w="2933"/>
            <w:shd w:color="auto" w:val="clear" w:fill=""/>
          </w:tcPr>
          <w:p/>
        </w:tc>
        <w:tc>
          <w:tcPr>
            <w:tcW w:type="dxa" w:w="1048"/>
            <w:shd w:color="auto" w:val="clear" w:fill=""/>
          </w:tcPr>
          <w:p/>
        </w:tc>
        <w:tc>
          <w:tcPr>
            <w:tcW w:type="dxa" w:w="1048"/>
            <w:shd w:color="auto" w:val="clear" w:fill=""/>
          </w:tcPr>
          <w:p/>
        </w:tc>
        <w:tc>
          <w:tcPr>
            <w:tcW w:type="dxa" w:w="2933"/>
            <w:shd w:color="auto" w:val="clear" w:fill=""/>
          </w:tcPr>
          <w:p/>
        </w:tc>
        <w:tc>
          <w:tcPr>
            <w:tcW w:type="dxa" w:w="1048"/>
            <w:shd w:color="auto" w:val="clear" w:fill=""/>
          </w:tcPr>
          <w:p/>
        </w:tc>
      </w:tr>
      <w:tr>
        <w:tc>
          <w:tcPr>
            <w:tcW w:type="dxa" w:w="1048"/>
            <w:shd w:color="auto" w:val="clear" w:fill=""/>
          </w:tcPr>
          <w:p/>
        </w:tc>
        <w:tc>
          <w:tcPr>
            <w:tcW w:type="dxa" w:w="2933"/>
            <w:shd w:color="auto" w:val="clear" w:fill=""/>
          </w:tcPr>
          <w:p/>
        </w:tc>
        <w:tc>
          <w:tcPr>
            <w:tcW w:type="dxa" w:w="1048"/>
            <w:shd w:color="auto" w:val="clear" w:fill=""/>
          </w:tcPr>
          <w:p/>
        </w:tc>
        <w:tc>
          <w:tcPr>
            <w:tcW w:type="dxa" w:w="1048"/>
            <w:shd w:color="auto" w:val="clear" w:fill=""/>
          </w:tcPr>
          <w:p/>
        </w:tc>
        <w:tc>
          <w:tcPr>
            <w:tcW w:type="dxa" w:w="2933"/>
            <w:shd w:color="auto" w:val="clear" w:fill=""/>
          </w:tcPr>
          <w:p/>
        </w:tc>
        <w:tc>
          <w:tcPr>
            <w:tcW w:type="dxa" w:w="1048"/>
            <w:shd w:color="auto" w:val="clear" w:fill=""/>
          </w:tcPr>
          <w:p/>
        </w:tc>
      </w:tr>
      <w:tr>
        <w:tc>
          <w:tcPr>
            <w:tcW w:type="dxa" w:w="1048"/>
            <w:shd w:color="auto" w:val="clear" w:fill=""/>
          </w:tcPr>
          <w:p/>
        </w:tc>
        <w:tc>
          <w:tcPr>
            <w:tcW w:type="dxa" w:w="2933"/>
            <w:shd w:color="auto" w:val="clear" w:fill=""/>
          </w:tcPr>
          <w:p/>
        </w:tc>
        <w:tc>
          <w:tcPr>
            <w:tcW w:type="dxa" w:w="1048"/>
            <w:shd w:color="auto" w:val="clear" w:fill=""/>
          </w:tcPr>
          <w:p/>
        </w:tc>
        <w:tc>
          <w:tcPr>
            <w:tcW w:type="dxa" w:w="1048"/>
            <w:shd w:color="auto" w:val="clear" w:fill=""/>
          </w:tcPr>
          <w:p/>
        </w:tc>
        <w:tc>
          <w:tcPr>
            <w:tcW w:type="dxa" w:w="2933"/>
            <w:shd w:color="auto" w:val="clear" w:fill=""/>
          </w:tcPr>
          <w:p/>
        </w:tc>
        <w:tc>
          <w:tcPr>
            <w:tcW w:type="dxa" w:w="1048"/>
            <w:shd w:color="auto" w:val="clear" w:fill=""/>
          </w:tcPr>
          <w:p/>
        </w:tc>
      </w:tr>
    </w:tbl>
    <w:p>
      <w:r>
        <w:rPr>
          <w:sz w:val="20"/>
          <w:b w:val="off"/>
        </w:rPr>
        <w:t>Om logistieke en productieredenen is het niet mogelijk een specifiek bandenmerk te bestellen.</w:t>
      </w:r>
    </w:p>
    <w:p>
      <w:r>
        <w:rPr>
          <w:sz w:val="20"/>
          <w:b w:val="off"/>
        </w:rPr>
        <w:t>Wijzigingen en fouten voorbehouden.</w:t>
      </w:r>
    </w:p>
    <w:p>
      <w:pPr>
        <w:spacing w:before="80" w:beforeLines="0" w:after="0" w:afterLines="0"/>
      </w:pPr>
      <w:r>
        <w:rPr>
          <w:sz w:val="0"/>
        </w:rPr>
        <w:t>​</w:t>
      </w:r>
    </w:p>
    <w:sectPr>
      <w:footerReference w:type="first" r:id="rId11"/>
      <w:pgSz w:orient="portrait" w:w="11900" w:h="16840"/>
      <w:pgMar w:top="611" w:right="971" w:left="550" w:bottom="0" w:header="0" w:footer="0"/>
      <w:titlePg w:val="on"/>
    </w:sectPr>
  </w:body>
</w:document>
</file>

<file path=word/footer1.xml><?xml version="1.0" encoding="utf-8"?>
<w:ftr xmlns:w="http://schemas.openxmlformats.org/wordprocessingml/2006/main">
  <w:tbl>
    <w:tblPr>
      <w:tblW w:w="5000" w:type="pct"/>
    </w:tblPr>
    <w:tr>
      <w:tc>
        <w:tcPr>
          <w:tcW w:type="pct" w:w="1730"/>
          <w:shd w:color="auto" w:val="clear" w:fill="64666B"/>
        </w:tcPr>
        <w:p>
          <w:pPr>
            <w:spacing w:beforeLines="20" w:after="20"/>
            <w:ind w:left="60" w:right="0"/>
            <w:jc w:val="left"/>
          </w:pPr>
          <w:r>
            <w:rPr>
              <w:sz w:val="18"/>
              <w:color w:val="FFFFFF"/>
              <w:b w:val="off"/>
              <w:u w:val="none"/>
            </w:rPr>
            <w:t>Basisprijs basisvoertuig</w:t>
          </w:r>
        </w:p>
      </w:tc>
      <w:tc>
        <w:tcPr>
          <w:tcW w:type="pct" w:w="740"/>
          <w:shd w:color="auto" w:val="clear" w:fill="64666B"/>
        </w:tcPr>
        <w:p>
          <w:pPr>
            <w:spacing w:beforeLines="20" w:after="20"/>
            <w:ind w:left="0" w:right="60"/>
            <w:jc w:val="end"/>
          </w:pPr>
          <w:r>
            <w:rPr>
              <w:sz w:val="18"/>
              <w:color w:val="FFFFFF"/>
              <w:b w:val="off"/>
              <w:u w:val="none"/>
            </w:rPr>
            <w:t>102.654 €</w:t>
          </w:r>
        </w:p>
      </w:tc>
      <w:tc>
        <w:tcPr>
          <w:tcW w:type="pct" w:w="55"/>
          <w:vMerge w:val="restart"/>
        </w:tcPr>
        <w:p/>
      </w:tc>
      <w:tc>
        <w:tcPr>
          <w:tcW w:type="pct" w:w="1730"/>
          <w:shd w:color="auto" w:val="clear" w:fill="EC671A"/>
        </w:tcPr>
        <w:p>
          <w:pPr>
            <w:spacing w:beforeLines="20" w:after="20"/>
            <w:ind w:left="60" w:right="0"/>
            <w:jc w:val="left"/>
          </w:pPr>
          <w:r>
            <w:rPr>
              <w:sz w:val="18"/>
              <w:color w:val="FFFFFF"/>
              <w:b w:val="off"/>
              <w:u w:val="none"/>
            </w:rPr>
            <w:t>Basisprijs speciaal model</w:t>
          </w:r>
        </w:p>
      </w:tc>
      <w:tc>
        <w:tcPr>
          <w:tcW w:type="pct" w:w="740"/>
          <w:shd w:color="auto" w:val="clear" w:fill="EC671A"/>
        </w:tcPr>
        <w:p>
          <w:pPr>
            <w:spacing w:beforeLines="20" w:after="20"/>
            <w:ind w:left="0" w:right="60"/>
            <w:jc w:val="end"/>
          </w:pPr>
          <w:r>
            <w:rPr>
              <w:sz w:val="18"/>
              <w:color w:val="FFFFFF"/>
              <w:b w:val="off"/>
              <w:u w:val="none"/>
            </w:rPr>
            <w:t>104.604 €</w:t>
          </w:r>
        </w:p>
      </w:tc>
    </w:tr>
    <w:tr>
      <w:tc>
        <w:tcPr>
          <w:tcW w:type="pct" w:w="1730"/>
          <w:shd w:color="auto" w:val="clear" w:fill="64666B"/>
        </w:tcPr>
        <w:p>
          <w:pPr>
            <w:spacing w:beforeLines="20" w:after="0"/>
            <w:ind w:left="60" w:right="0"/>
            <w:jc w:val="left"/>
          </w:pPr>
          <w:r>
            <w:rPr>
              <w:sz w:val="18"/>
              <w:color w:val="FFFFFF"/>
              <w:b w:val="off"/>
              <w:u w:val="none"/>
            </w:rPr>
            <w:t>Speciale modeluitrusting</w:t>
          </w:r>
        </w:p>
      </w:tc>
      <w:tc>
        <w:tcPr>
          <w:tcW w:type="pct" w:w="740"/>
          <w:shd w:color="auto" w:val="clear" w:fill="64666B"/>
        </w:tcPr>
        <w:p>
          <w:pPr>
            <w:spacing w:beforeLines="20" w:after="0"/>
            <w:ind w:left="0" w:right="60"/>
            <w:jc w:val="end"/>
          </w:pPr>
          <w:r>
            <w:rPr>
              <w:sz w:val="18"/>
              <w:color w:val="FFFFFF"/>
              <w:b w:val="off"/>
              <w:u w:val="none"/>
            </w:rPr>
            <w:t>25.291 €</w:t>
          </w:r>
        </w:p>
      </w:tc>
      <w:tc>
        <w:tcPr>
          <w:vMerge w:val="continue"/>
        </w:tcPr>
        <w:p/>
      </w:tc>
      <w:tc>
        <w:tcPr>
          <w:tcW w:type="pct" w:w="1730"/>
          <w:shd w:color="auto" w:val="clear" w:fill="EC671A"/>
        </w:tcPr>
        <w:p>
          <w:pPr>
            <w:spacing w:beforeLines="20" w:after="20"/>
            <w:ind w:left="60" w:right="0"/>
            <w:jc w:val="left"/>
          </w:pPr>
          <w:r>
            <w:rPr>
              <w:sz w:val="18"/>
              <w:color w:val="FFFFFF"/>
              <w:b w:val="off"/>
              <w:u w:val="none"/>
            </w:rPr>
            <w:t>Speciale uitrusting</w:t>
          </w:r>
        </w:p>
      </w:tc>
      <w:tc>
        <w:tcPr>
          <w:tcW w:type="pct" w:w="740"/>
          <w:shd w:color="auto" w:val="clear" w:fill="EC671A"/>
        </w:tcPr>
        <w:p>
          <w:pPr>
            <w:spacing w:beforeLines="20" w:after="40"/>
            <w:ind w:left="0" w:right="60"/>
            <w:jc w:val="end"/>
          </w:pPr>
          <w:r>
            <w:rPr>
              <w:sz w:val="18"/>
              <w:color w:val="FFFFFF"/>
              <w:b w:val="off"/>
              <w:u w:val="none"/>
            </w:rPr>
            <w:t>22.194 €</w:t>
          </w:r>
        </w:p>
      </w:tc>
    </w:tr>
    <w:tr>
      <w:tc>
        <w:tcPr>
          <w:tcW w:type="pct" w:w="1730"/>
          <w:tcBorders>
            <w:top w:val="single" w:sz="15" w:color="FFFFFF"/>
          </w:tcBorders>
          <w:shd w:color="auto" w:val="clear" w:fill="64666B"/>
        </w:tcPr>
        <w:p>
          <w:pPr>
            <w:spacing w:beforeLines="20" w:after="20"/>
            <w:ind w:left="60" w:right="0"/>
            <w:jc w:val="left"/>
          </w:pPr>
          <w:r>
            <w:rPr>
              <w:sz w:val="18"/>
              <w:color w:val="FFFFFF"/>
              <w:b w:val="on"/>
              <w:u w:val="none"/>
            </w:rPr>
            <w:t>Basisprijs speciaal model</w:t>
          </w:r>
        </w:p>
      </w:tc>
      <w:tc>
        <w:tcPr>
          <w:tcW w:type="pct" w:w="740"/>
          <w:tcBorders>
            <w:top w:val="single" w:sz="15" w:color="FFFFFF"/>
          </w:tcBorders>
          <w:shd w:color="auto" w:val="clear" w:fill="64666B"/>
        </w:tcPr>
        <w:p>
          <w:pPr>
            <w:spacing w:beforeLines="20" w:after="20"/>
            <w:ind w:left="0" w:right="60"/>
            <w:jc w:val="end"/>
          </w:pPr>
          <w:r>
            <w:rPr>
              <w:sz w:val="18"/>
              <w:color w:val="FFFFFF"/>
              <w:b w:val="on"/>
              <w:u w:val="none"/>
            </w:rPr>
            <w:t>104.604 €</w:t>
          </w:r>
        </w:p>
      </w:tc>
      <w:tc>
        <w:tcPr>
          <w:vMerge w:val="continue"/>
        </w:tcPr>
        <w:p/>
      </w:tc>
      <w:tc>
        <w:tcPr>
          <w:tcW w:type="pct" w:w="1730"/>
          <w:vMerge w:val="restart"/>
          <w:tcBorders>
            <w:top w:val="single" w:sz="15" w:color="FFFFFF"/>
          </w:tcBorders>
          <w:shd w:color="auto" w:val="clear" w:fill="EC671A"/>
          <w:vAlign w:val="center"/>
        </w:tcPr>
        <w:p>
          <w:pPr>
            <w:spacing w:beforeLines="0" w:after="60"/>
            <w:ind w:left="60" w:right="0"/>
            <w:jc w:val="left"/>
          </w:pPr>
          <w:r>
            <w:rPr>
              <w:sz w:val="28"/>
              <w:color w:val="FFFFFF"/>
              <w:b w:val="on"/>
              <w:u w:val="none"/>
            </w:rPr>
            <w:t>Tentoonstellingsvoertuig</w:t>
          </w:r>
        </w:p>
      </w:tc>
      <w:tc>
        <w:tcPr>
          <w:tcW w:type="pct" w:w="740"/>
          <w:vMerge w:val="restart"/>
          <w:tcBorders>
            <w:top w:val="single" w:sz="15" w:color="FFFFFF"/>
          </w:tcBorders>
          <w:shd w:color="auto" w:val="clear" w:fill="EC671A"/>
          <w:vAlign w:val="center"/>
        </w:tcPr>
        <w:p>
          <w:pPr>
            <w:spacing w:beforeLines="0" w:after="60"/>
            <w:ind w:left="0" w:right="60"/>
            <w:jc w:val="end"/>
          </w:pPr>
          <w:r>
            <w:rPr>
              <w:sz w:val="28"/>
              <w:color w:val="FFFFFF"/>
              <w:b w:val="on"/>
              <w:u w:val="none"/>
            </w:rPr>
            <w:t>126.798 €</w:t>
          </w:r>
        </w:p>
      </w:tc>
    </w:tr>
    <w:tr>
      <w:tc>
        <w:tcPr>
          <w:tcW w:type="pct" w:w="1730"/>
          <w:shd w:color="auto" w:val="clear" w:fill="64666B"/>
        </w:tcPr>
        <w:p>
          <w:pPr>
            <w:spacing w:beforeLines="20" w:after="40"/>
            <w:ind w:left="60" w:right="0"/>
            <w:jc w:val="left"/>
          </w:pPr>
          <w:r>
            <w:rPr>
              <w:sz w:val="18"/>
              <w:color w:val="FFFFFF"/>
              <w:b w:val="off"/>
              <w:u w:val="none"/>
            </w:rPr>
            <w:t>Besparingen</w:t>
          </w:r>
        </w:p>
      </w:tc>
      <w:tc>
        <w:tcPr>
          <w:tcW w:type="pct" w:w="740"/>
          <w:shd w:color="auto" w:val="clear" w:fill="64666B"/>
        </w:tcPr>
        <w:p>
          <w:pPr>
            <w:spacing w:beforeLines="20" w:after="40"/>
            <w:ind w:left="0" w:right="60"/>
            <w:jc w:val="end"/>
          </w:pPr>
          <w:r>
            <w:rPr>
              <w:sz w:val="18"/>
              <w:color w:val="FFFFFF"/>
              <w:b w:val="off"/>
              <w:u w:val="none"/>
            </w:rPr>
            <w:t>23.341 €</w:t>
          </w:r>
        </w:p>
      </w:tc>
      <w:tc>
        <w:tcPr>
          <w:vMerge w:val="continue"/>
        </w:tcPr>
        <w:p/>
      </w:tc>
      <w:tc>
        <w:tcPr>
          <w:vMerge w:val="continue"/>
        </w:tcPr>
        <w:p/>
      </w:tc>
      <w:tc>
        <w:tcPr>
          <w:vMerge w:val="continue"/>
        </w:tcPr>
        <w:p/>
      </w:tc>
    </w:tr>
    <w:tr>
      <w:tc>
        <w:tcPr>
          <w:tcW w:type="pct" w:w="2475"/>
          <w:hMerge w:val="restart"/>
          <w:vAlign w:val="bottom"/>
        </w:tcPr>
        <w:p>
          <w:pPr>
            <w:spacing w:beforeLines="10" w:after="10"/>
            <w:ind w:left="60" w:right="0"/>
            <w:jc w:val="left"/>
          </w:pPr>
          <w:r>
            <w:rPr>
              <w:sz w:val="16"/>
              <w:color w:val="64666B"/>
              <w:b w:val="off"/>
              <w:u w:val="none"/>
            </w:rPr>
            <w:t>Visit WEINSBERG here:</w:t>
          </w:r>
        </w:p>
      </w:tc>
      <w:tc>
        <w:tcPr>
          <w:hMerge w:val="continue"/>
        </w:tcPr>
        <w:p/>
      </w:tc>
      <w:tc>
        <w:tcPr>
          <w:vMerge w:val="continue"/>
        </w:tcPr>
        <w:p/>
      </w:tc>
      <w:tc>
        <w:tcPr>
          <w:tcW w:type="pct" w:w="2475"/>
          <w:hMerge w:val="restart"/>
        </w:tcPr>
        <w:p>
          <w:pPr>
            <w:spacing w:beforeLines="10" w:after="10"/>
            <w:ind w:left="0" w:right="60"/>
            <w:jc w:val="end"/>
          </w:pPr>
          <w:r>
            <w:rPr>
              <w:sz w:val="16"/>
              <w:color w:val="64666B"/>
              <w:b w:val="off"/>
              <w:u w:val="none"/>
            </w:rPr>
            <w:t>Incl. 21% BTW</w:t>
            <w:br/>
          </w:r>
          <w:r>
            <w:rPr>
              <w:sz w:val="16"/>
              <w:color w:val="64666B"/>
              <w:b w:val="off"/>
              <w:u w:val="none"/>
            </w:rPr>
            <w:t>Incl. 18.874 € BPM (voorlopig indicatief bedrag)</w:t>
          </w:r>
        </w:p>
      </w:tc>
      <w:tc>
        <w:tcPr>
          <w:hMerge w:val="continue"/>
        </w:tcPr>
        <w:p/>
      </w:tc>
    </w:tr>
    <w:tr>
      <w:tc>
        <w:tcPr>
          <w:tcW w:type="pct" w:w="2475"/>
          <w:hMerge w:val="restart"/>
        </w:tcPr>
        <w:p>
          <w:pPr>
            <w:spacing w:beforeLines="10" w:after="400"/>
            <w:ind w:left="60" w:right="0"/>
            <w:jc w:val="left"/>
          </w:pPr>
          <w:r>
            <w:rPr>
              <w:sz w:val="16"/>
              <w:color w:val="64666B"/>
              <w:b w:val="on"/>
              <w:u w:val="none"/>
            </w:rPr>
            <w:t>https://weinsberg.com/nl-nl</w:t>
          </w:r>
        </w:p>
      </w:tc>
      <w:tc>
        <w:tcPr>
          <w:hMerge w:val="continue"/>
        </w:tcPr>
        <w:p/>
      </w:tc>
      <w:tc>
        <w:tcPr>
          <w:vMerge w:val="continue"/>
        </w:tcPr>
        <w:p/>
      </w:tc>
      <w:tc>
        <w:tcPr>
          <w:tcW w:type="pct" w:w="2475"/>
          <w:hMerge w:val="restart"/>
        </w:tcPr>
        <w:p>
          <w:pPr>
            <w:spacing w:beforeLines="10" w:after="400"/>
            <w:ind w:left="0" w:right="60"/>
            <w:jc w:val="end"/>
          </w:pPr>
          <w:r>
            <w:rPr>
              <w:sz w:val="16"/>
              <w:color w:val="64666B"/>
              <w:b w:val="off"/>
              <w:u w:val="none"/>
            </w:rPr>
            <w:t>Wijzigingen en fouten voorbehouden.</w:t>
          </w:r>
        </w:p>
      </w:tc>
      <w:tc>
        <w:tcPr>
          <w:hMerge w:val="continue"/>
        </w:tcPr>
        <w:p/>
      </w:tc>
    </w:tr>
  </w:tbl>
</w:ftr>
</file>

<file path=word/settings.xml><?xml version="1.0" encoding="utf-8"?>
<w:settings xmlns:w="http://schemas.openxmlformats.org/wordprocessingml/2006/main"/>
</file>

<file path=word/styles.xml><?xml version="1.0" encoding="utf-8"?>
<w:styles xmlns:w="http://schemas.openxmlformats.org/wordprocessingml/2006/main">
  <w:docDefaults>
    <w:rPrDefault>
      <w:rPr>
        <w:rFonts w:ascii="Arial" w:eastAsia="Arial" w:hAnsi="Arial"/>
      </w:rPr>
    </w:rPrDefault>
    <w:pPrDefault>
      <w:pPr/>
    </w:pPrDefault>
  </w:docDefaults>
</w:styles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10" Target="media/image8.png" Type="http://schemas.openxmlformats.org/officeDocument/2006/relationships/image"/><Relationship Id="rId11" Target="footer1.xml" Type="http://schemas.openxmlformats.org/officeDocument/2006/relationships/footer"/><Relationship Id="rId12" Target="media/image9.png" Type="http://schemas.openxmlformats.org/officeDocument/2006/relationships/image"/><Relationship Id="rId13" Target="https://eprel.ec.europa.eu/screen/product/tyres/413099" TargetMode="External" Type="http://schemas.openxmlformats.org/officeDocument/2006/relationships/hyperlink"/><Relationship Id="rId14" Target="media/image10.png" Type="http://schemas.openxmlformats.org/officeDocument/2006/relationships/image"/><Relationship Id="rId15" Target="https://eprel.ec.europa.eu/screen/product/tyres/481493" TargetMode="External" Type="http://schemas.openxmlformats.org/officeDocument/2006/relationships/hyperlink"/><Relationship Id="rId16" Target="media/image11.png" Type="http://schemas.openxmlformats.org/officeDocument/2006/relationships/image"/><Relationship Id="rId17" Target="https://eprel.ec.europa.eu/screen/product/tyres/525843" TargetMode="External" Type="http://schemas.openxmlformats.org/officeDocument/2006/relationships/hyperlink"/><Relationship Id="rId18" Target="media/image12.png" Type="http://schemas.openxmlformats.org/officeDocument/2006/relationships/image"/><Relationship Id="rId19" Target="https://eprel.ec.europa.eu/screen/product/tyres/671841" TargetMode="External" Type="http://schemas.openxmlformats.org/officeDocument/2006/relationships/hyperlink"/><Relationship Id="rId2" Target="styles.xml" Type="http://schemas.openxmlformats.org/officeDocument/2006/relationships/styles"/><Relationship Id="rId3" Target="media/image1.png" Type="http://schemas.openxmlformats.org/officeDocument/2006/relationships/image"/><Relationship Id="rId4" Target="media/image2.png" Type="http://schemas.openxmlformats.org/officeDocument/2006/relationships/image"/><Relationship Id="rId5" Target="media/image3.png" Type="http://schemas.openxmlformats.org/officeDocument/2006/relationships/image"/><Relationship Id="rId6" Target="media/image4.png" Type="http://schemas.openxmlformats.org/officeDocument/2006/relationships/image"/><Relationship Id="rId7" Target="media/image5.png" Type="http://schemas.openxmlformats.org/officeDocument/2006/relationships/image"/><Relationship Id="rId8" Target="media/image6.png" Type="http://schemas.openxmlformats.org/officeDocument/2006/relationships/image"/><Relationship Id="rId9" Target="media/image7.png" Type="http://schemas.openxmlformats.org/officeDocument/2006/relationships/image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2025-07-11T10:49:32Z</dcterms:created>
  <dc:creator>Apache POI</dc:creator>
</cp:coreProperties>
</file>